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10915" w:type="dxa"/>
        <w:tblInd w:w="-1026" w:type="dxa"/>
        <w:tblBorders>
          <w:bottom w:val="single" w:color="000000" w:sz="4" w:space="0"/>
          <w:insideH w:val="single" w:color="000000" w:sz="4" w:space="0"/>
        </w:tblBorders>
        <w:tblLook w:val="0000" w:firstRow="0" w:lastRow="0" w:firstColumn="0" w:lastColumn="0" w:noHBand="0" w:noVBand="0"/>
      </w:tblPr>
      <w:tblGrid>
        <w:gridCol w:w="1115"/>
        <w:gridCol w:w="222"/>
        <w:gridCol w:w="4272"/>
        <w:gridCol w:w="1109"/>
        <w:gridCol w:w="3975"/>
        <w:gridCol w:w="222"/>
      </w:tblGrid>
      <w:tr>
        <w:tblPrEx/>
        <w:trPr/>
        <w:tc>
          <w:tcPr>
            <w:shd w:val="clear" w:color="auto" w:fill="auto"/>
            <w:tcBorders>
              <w:bottom w:val="single" w:color="000000" w:sz="4" w:space="0"/>
            </w:tcBorders>
            <w:tcW w:w="111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/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</w:tcBorders>
            <w:tcW w:w="9798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1116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32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4393" w:type="dxa"/>
            <w:textDirection w:val="lrTb"/>
            <w:noWrap w:val="false"/>
          </w:tcPr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1132" w:type="dxa"/>
            <w:textDirection w:val="lrTb"/>
            <w:noWrap w:val="false"/>
          </w:tcPr>
          <w:p>
            <w:pPr>
              <w:ind w:hanging="250"/>
              <w:jc w:val="right"/>
              <w:spacing w:line="360" w:lineRule="auto"/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4101" w:type="dxa"/>
            <w:textDirection w:val="lrTb"/>
            <w:noWrap w:val="false"/>
          </w:tcPr>
          <w:p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40" w:type="dxa"/>
            <w:textDirection w:val="lrTb"/>
            <w:noWrap w:val="false"/>
          </w:tcPr>
          <w:p>
            <w:r/>
            <w:r/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>
        <w:rPr>
          <w:b/>
          <w:bCs/>
          <w:sz w:val="28"/>
          <w:szCs w:val="28"/>
        </w:rPr>
        <w:t xml:space="preserve">ПРОГРАММА 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200" w:line="360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 08 ХИМИЯ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after="200" w:line="276" w:lineRule="auto"/>
        <w:rPr>
          <w:b/>
          <w:bCs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</w:r>
      <w:r>
        <w:rPr>
          <w:b w:val="0"/>
          <w:bCs w:val="0"/>
          <w:sz w:val="28"/>
          <w:szCs w:val="28"/>
          <w:lang w:eastAsia="en-US"/>
        </w:rPr>
        <w:t xml:space="preserve"> 15.02.16 Технология машиностроения</w:t>
      </w:r>
      <w:r>
        <w:rPr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</w:r>
      <w:r>
        <w:rPr>
          <w:b/>
          <w:bCs/>
          <w:sz w:val="28"/>
          <w:szCs w:val="28"/>
          <w:lang w:eastAsia="en-US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155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1128"/>
        <w:numPr>
          <w:ilvl w:val="0"/>
          <w:numId w:val="24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/>
    </w:p>
    <w:p>
      <w:pPr>
        <w:ind w:firstLine="567"/>
        <w:jc w:val="both"/>
        <w:spacing w:line="276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</w:t>
      </w:r>
      <w:r>
        <w:rPr>
          <w:sz w:val="28"/>
          <w:szCs w:val="28"/>
        </w:rPr>
        <w:t xml:space="preserve">8 Химия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</w:t>
      </w:r>
      <w:r>
        <w:rPr>
          <w:sz w:val="28"/>
          <w:szCs w:val="28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14 июня 2022 г. N 444 с изменениями и дополнениями от 3 июля 2024г)), с учетом  рабочей программы воспитания по </w:t>
      </w:r>
      <w:bookmarkStart w:id="0" w:name="_Hlk176524151"/>
      <w:r>
        <w:rPr>
          <w:bCs/>
          <w:sz w:val="28"/>
          <w:szCs w:val="28"/>
        </w:rPr>
        <w:t xml:space="preserve">специальности 15.02.16 Технология машиностроения.  </w:t>
      </w:r>
      <w:bookmarkEnd w:id="0"/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«Химия»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 по </w:t>
      </w:r>
      <w:r>
        <w:rPr>
          <w:bCs/>
          <w:iCs/>
          <w:sz w:val="28"/>
          <w:szCs w:val="28"/>
        </w:rPr>
        <w:t xml:space="preserve">специальности 15.02.16 Технология машиностроения.  </w:t>
      </w:r>
      <w:r>
        <w:rPr>
          <w:bCs/>
          <w:i/>
          <w:iCs/>
          <w:sz w:val="28"/>
          <w:szCs w:val="28"/>
        </w:rPr>
      </w:r>
      <w:r>
        <w:rPr>
          <w:bCs/>
          <w:i/>
          <w:iCs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соответствии с требованиями ФГОС СОО и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ФОП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</w:rPr>
        <w:t xml:space="preserve">  целями изучения дисциплины «Химия» являются: </w:t>
      </w:r>
      <w:r/>
    </w:p>
    <w:p>
      <w:pPr>
        <w:pStyle w:val="1103"/>
        <w:numPr>
          <w:ilvl w:val="0"/>
          <w:numId w:val="15"/>
        </w:numPr>
        <w:ind w:left="567" w:firstLine="340"/>
        <w:jc w:val="both"/>
        <w:tabs>
          <w:tab w:val="left" w:pos="90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системы химических знаний как важнейшей составляющей естественн</w:t>
      </w:r>
      <w:r>
        <w:rPr>
          <w:rFonts w:ascii="Times New Roman;serif" w:hAnsi="Times New Roman;serif"/>
          <w:sz w:val="28"/>
          <w:szCs w:val="28"/>
        </w:rPr>
        <w:t xml:space="preserve">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3"/>
        <w:numPr>
          <w:ilvl w:val="0"/>
          <w:numId w:val="16"/>
        </w:numPr>
        <w:ind w:left="180" w:right="645" w:firstLine="70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3"/>
        <w:numPr>
          <w:ilvl w:val="0"/>
          <w:numId w:val="16"/>
        </w:numPr>
        <w:ind w:left="180" w:right="645" w:firstLine="70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3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адаптация обучающ</w:t>
      </w:r>
      <w:r>
        <w:rPr>
          <w:rFonts w:ascii="Times New Roman;serif" w:hAnsi="Times New Roman;serif"/>
          <w:sz w:val="28"/>
          <w:szCs w:val="28"/>
        </w:rPr>
        <w:t xml:space="preserve">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3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</w:t>
      </w:r>
      <w:r>
        <w:rPr>
          <w:rFonts w:ascii="Times New Roman;serif" w:hAnsi="Times New Roman;serif"/>
          <w:sz w:val="28"/>
          <w:szCs w:val="28"/>
        </w:rPr>
        <w:t xml:space="preserve">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3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познавательных интересов, интеллектуальных и творческих способнос</w:t>
      </w:r>
      <w:r>
        <w:rPr>
          <w:rFonts w:ascii="Times New Roman;serif" w:hAnsi="Times New Roman;serif"/>
          <w:sz w:val="28"/>
          <w:szCs w:val="28"/>
        </w:rPr>
        <w:t xml:space="preserve">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 популярной информации химического содержания;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3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3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</w:t>
      </w:r>
      <w:r>
        <w:rPr>
          <w:rFonts w:ascii="Times New Roman;serif" w:hAnsi="Times New Roman;serif"/>
          <w:sz w:val="28"/>
          <w:szCs w:val="28"/>
        </w:rPr>
        <w:t xml:space="preserve">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701" w:header="0" w:footer="0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5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1154"/>
        <w:tblW w:w="15591" w:type="dxa"/>
        <w:tblLook w:val="0000" w:firstRow="0" w:lastRow="0" w:firstColumn="0" w:lastColumn="0" w:noHBand="0" w:noVBand="0"/>
      </w:tblPr>
      <w:tblGrid>
        <w:gridCol w:w="2660"/>
        <w:gridCol w:w="3513"/>
        <w:gridCol w:w="4000"/>
        <w:gridCol w:w="5418"/>
      </w:tblGrid>
      <w:tr>
        <w:tblPrEx/>
        <w:trPr>
          <w:trHeight w:val="798"/>
        </w:trPr>
        <w:tc>
          <w:tcPr>
            <w:tcW w:w="2660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Код и наименование формируемых компетенций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tcW w:w="1293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Планируемые результаты освоения дисциплины</w:t>
            </w:r>
            <w:r/>
          </w:p>
        </w:tc>
      </w:tr>
      <w:tr>
        <w:tblPrEx/>
        <w:trPr>
          <w:trHeight w:val="157"/>
        </w:trPr>
        <w:tc>
          <w:tcPr>
            <w:tcW w:w="26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98"/>
        </w:trPr>
        <w:tc>
          <w:tcPr>
            <w:tcW w:w="2660" w:type="dxa"/>
            <w:textDirection w:val="lrTb"/>
            <w:noWrap w:val="false"/>
          </w:tcPr>
          <w:p>
            <w:pPr>
              <w:ind w:left="275" w:hanging="27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Трудового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  <w:r/>
          </w:p>
          <w:p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  <w:r/>
          </w:p>
          <w:p>
            <w:pPr>
              <w:ind w:firstLine="567"/>
              <w:jc w:val="both"/>
            </w:pPr>
            <w: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  <w:r/>
          </w:p>
          <w:p>
            <w:pPr>
              <w:ind w:firstLine="567"/>
              <w:jc w:val="both"/>
            </w:pPr>
            <w:r>
              <w:t xml:space="preserve">— уважения к  труду, людям труда и  результатам тру</w:t>
            </w:r>
            <w:r>
              <w:t xml:space="preserve">довой деятельности; </w:t>
            </w:r>
            <w:r/>
          </w:p>
          <w:p>
            <w:pPr>
              <w:ind w:firstLine="567"/>
              <w:jc w:val="both"/>
            </w:pPr>
            <w:r>
              <w:t xml:space="preserve"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к  химии, интересов и  потребностей общества;</w:t>
            </w:r>
            <w:r/>
          </w:p>
          <w:p>
            <w:pPr>
              <w:ind w:firstLine="567"/>
              <w:jc w:val="both"/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67"/>
              <w:jc w:val="both"/>
              <w:spacing w:line="276" w:lineRule="auto"/>
            </w:pPr>
            <w:r>
              <w:t xml:space="preserve">Базовыми логическими действиями:</w:t>
            </w:r>
            <w:r/>
          </w:p>
          <w:p>
            <w:pPr>
              <w:ind w:firstLine="567"/>
              <w:jc w:val="both"/>
              <w:spacing w:line="276" w:lineRule="auto"/>
            </w:pPr>
            <w:r>
              <w:t xml:space="preserve">— самостоятельно формулировать и  актуализировать проблему, рассматривать её всесторонне; </w:t>
            </w:r>
            <w:r>
              <w:t xml:space="preserve">определять цели 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знаний приёмы логического мышления: выделять характерные признаки понятий и  устанавливать их </w:t>
            </w:r>
            <w:r>
              <w:t xml:space="preserve">взаимосвязь, использовать соответствующие понятия дл</w:t>
            </w:r>
            <w:r>
              <w:t xml:space="preserve">я объяснения отдельных фактов и  явлений; — выбирать основания и  критерии для классификации веществ и химических реакций; — устанавливать причинно-следственные связи между изучаемыми явлениями; — строить логические рассуждения (индуктивные, дедуктивные, п</w:t>
            </w:r>
            <w:r>
              <w:t xml:space="preserve">о аналогии), выявлять закономерности и  противоречия в  рассматриваемых явлениях, формулировать выводы и  заключения; — применять в процессе познания используемые в химии символические (знаковые) модели, преобразовывать модельные представления  — химически</w:t>
            </w:r>
            <w:r>
              <w:t xml:space="preserve">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представления для выявления характерных признаков изучаемых веществ и  химических реакций</w:t>
            </w:r>
            <w:r>
              <w:rPr>
                <w:i/>
              </w:rPr>
            </w:r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  <w:tabs>
                <w:tab w:val="left" w:pos="1026" w:leader="none"/>
              </w:tabs>
            </w:pPr>
            <w:r>
              <w:t xml:space="preserve">сформированность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энергетической и  пищевой безопасности, в  развит</w:t>
            </w:r>
            <w:r>
              <w:t xml:space="preserve">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своему здоровью и природной среде;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орбитали, ос</w:t>
            </w:r>
            <w:r>
              <w:t xml:space="preserve">новное и возбуждённо</w:t>
            </w:r>
            <w:r>
              <w:t xml:space="preserve">е состояния атома, гибридизация атомных орбиталей, ион,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</w:t>
            </w:r>
            <w:r>
              <w:t xml:space="preserve">нутые, сокращённые, скелетные), изомерия структурная и  пространственная (геометрическая, оптическая), изомеры, гомологический ряд, гомологи, углеводороды, кислород- и  азотсодержащие органические соединения, мономер, полимер, структурное звено, высокомоле</w:t>
            </w:r>
            <w:r>
              <w:t xml:space="preserve">кулярные соединения; теории, законы (периодический закон Д.  И.  Менделеева, теория строения органических веществ А.  М.  Бутлерова, закон сохранения массы веществ, закон сохранения и превращения энергии при химических реакциях), закономерности, символичес</w:t>
            </w:r>
            <w:r>
              <w:t xml:space="preserve">кий язык химии, мировоззренческие знания, лежащие в  основе понимания причинности и системности химических явлений; представления о  механизмах химических реакций, термодинамических и  кинетических закономерностях их протекания, о  взаимном влиянии атомов </w:t>
            </w:r>
            <w:r>
              <w:t xml:space="preserve">и групп атомов в молекулах (индуктивный и  мезомерный эффекты, ориентанты I и II рода); фактологические сведения о  свойствах, составе, получении и  безопасном использовании важнейших органических веществ в быту и практической деятельности человека, общих </w:t>
            </w:r>
            <w:r>
              <w:t xml:space="preserve">научных принципах химического производства (на примере производства метанола, переработки нефти);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органических соединений;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определять вид химической связи в  органических соединениях (ковалентная и  ионная связь, σ- и π-связь, водородная связь);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-13" w:firstLine="284"/>
              <w:jc w:val="both"/>
              <w:spacing w:after="200" w:line="276" w:lineRule="auto"/>
            </w:pPr>
            <w:r>
              <w:t xml:space="preserve">  сформированность умения объяснять зависимость свойств веществ от вида химической связи и типа кристаллической решётки, обменный и донорно-акцепторный механизмы образования ковалентной связи;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-13" w:firstLine="284"/>
              <w:jc w:val="both"/>
              <w:spacing w:after="200" w:line="276" w:lineRule="auto"/>
            </w:pPr>
            <w:r>
              <w:t xml:space="preserve"> сформированность умений: классифицировать: неорганические вещества по их составу; </w:t>
            </w:r>
            <w:r>
              <w:t xml:space="preserve">химические реакции по различным признакам </w:t>
            </w:r>
            <w:r>
              <w:t xml:space="preserve">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изучаемых веществ и  химических реакций; </w:t>
            </w:r>
            <w:r/>
          </w:p>
        </w:tc>
      </w:tr>
      <w:tr>
        <w:tblPrEx/>
        <w:trPr>
          <w:trHeight w:val="375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Владеть приёмами работы с  информацией: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ориентироват</w:t>
            </w:r>
            <w:r>
              <w:t xml:space="preserve">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формулировать запросы и применять различные методы при поиске и отборе информации, необходимой для выполнения учебных задач определённого типа;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приобретать опыт использования информационно-коммуникативных технологий и различных поисковых систем;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самостоятельно выбирать оптимальную форму представления информации (схемы, графики, диаграммы, таблицы, рисунки и т. п.);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использовать научный язык </w:t>
            </w:r>
            <w:r>
              <w:t xml:space="preserve">в  качестве средства при работе с  химической информацией: применять межпредметные (физические и математические) знаки и символы, формулы, аббревиатуры, номенклатуру;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использовать знаково-символические средства наглядности.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-13" w:firstLine="142"/>
              <w:jc w:val="both"/>
              <w:spacing w:line="276" w:lineRule="auto"/>
            </w:pPr>
            <w:r>
              <w:t xml:space="preserve">сформированность умений: осуществлять целе</w:t>
            </w:r>
            <w:r>
              <w:t xml:space="preserve">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соответствии с  поставленной учебной задачей.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сформированность владения системой знаний о  методах научного познания явлений природы — наблюдение, измерение, моделирование, эксперимент (</w:t>
            </w:r>
            <w:r>
              <w:t xml:space="preserve">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271"/>
              <w:spacing w:after="200" w:line="276" w:lineRule="auto"/>
            </w:pPr>
            <w:r>
              <w:t xml:space="preserve"> сформированность умения выявлять взаимосвязь химических знаний с  понятиями и  представлениями других естественно-научных предметов для более осознанного понимания матери</w:t>
            </w:r>
            <w:r>
              <w:t xml:space="preserve">ального единства мира; </w:t>
            </w:r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highlight w:val="yellow"/>
              </w:rPr>
              <w:t xml:space="preserve"> </w:t>
            </w:r>
            <w:r>
              <w:rPr>
                <w:b/>
                <w:highlight w:val="white"/>
              </w:rPr>
              <w:t xml:space="preserve">Базовые исследовательские действия:</w:t>
            </w:r>
            <w:r/>
          </w:p>
          <w:p>
            <w:pPr>
              <w:ind w:firstLine="177"/>
              <w:jc w:val="both"/>
              <w:spacing w:line="276" w:lineRule="auto"/>
            </w:pPr>
            <w:r>
              <w:t xml:space="preserve"> — владеть основами методов научного познания веществ и химических реакций;</w:t>
            </w:r>
            <w:r/>
          </w:p>
          <w:p>
            <w:pPr>
              <w:ind w:firstLine="177"/>
              <w:jc w:val="both"/>
              <w:spacing w:line="276" w:lineRule="auto"/>
            </w:pPr>
            <w:r>
              <w:t xml:space="preserve"> — формулировать цели и  задачи исследования, использовать поставленные и самостоятельно сформулированные вопросы в  качестве инструмента познания и  основы для формирования гипотезы по </w:t>
            </w:r>
            <w:r>
              <w:t xml:space="preserve">проверке правильности высказываемых суждений; — владеть навыками самостоятельного планирования и проведения ученических экспериментов, совершенствовать умения наблюдать за ходом процесса, самостоятельно прогнозиовать его результат, формулировать обобщения </w:t>
            </w:r>
            <w:r>
              <w:t xml:space="preserve">и  выводы относительно достоверности результатов исследования, составл</w:t>
            </w:r>
            <w:r>
              <w:t xml:space="preserve">ять обоснованный отчёт о  проделанной работе; — приобретать опыт ученической исследовательской и проектной деятельности, проявлять способность и готовность к самостоятельному поиску методов решения практических задач, применению различных методов познания;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самостоятельно планировать и  осуществлять свою познавательную деятельность, определяя её цели и  задачи, контролировать и  по мере необходимости корректировать предлагаемый алгоритм</w:t>
            </w:r>
            <w:r>
              <w:t xml:space="preserve"> действий при выполнении учебных и  исследовательских задач, выбирать наиболее эффективный способ их решения с  учётом получения новых знаний о  веществах и  химических реакциях; — осуществлять самоконтроль деятельности на основе самоанализа и  самооценки.</w:t>
            </w:r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1"/>
              </w:numPr>
              <w:contextualSpacing/>
              <w:ind w:left="21" w:firstLine="533"/>
              <w:jc w:val="both"/>
              <w:spacing w:after="200" w:line="276" w:lineRule="auto"/>
            </w:pPr>
            <w:r>
              <w:t xml:space="preserve">сформированность уме</w:t>
            </w:r>
            <w:r>
              <w:t xml:space="preserve">ний: самостоятельно планировать и  проводить химический эксперимент (получение и  изучение свойств органических веществ, качественные реакции углеводородов различных классов и  кислородсодержащих органических веществ, решение экспериментальных задач по рас</w:t>
            </w:r>
            <w:r>
              <w:t xml:space="preserve">познаванию органических веществ)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проводить расчёты: с  использованием понятий «массовая доля вещества в  растворе» и  «молярная концентрация»; массы вещества или объёма газа по известному количеству вещества, массе или объёму од</w:t>
            </w:r>
            <w:r>
              <w:t xml:space="preserve">ного из участвующих в  реакции веществ; теплового эффекта реакции; значения водородного показателя растворов кислот и щелочей с известной степенью диссоци</w:t>
            </w:r>
            <w:r>
              <w:t xml:space="preserve">ации; массы (объёма, количества вещества) продукта реакции, если одно из исходных веществ дано в виде раствора с определённой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самостоятельно планировать и  проводить химический эксперимент (п</w:t>
            </w:r>
            <w:r>
              <w:t xml:space="preserve">роведение реакций ионного обмена; подтверждение качественного состава неорганических веществ; определение среды растворов веществ с  помощью индикаторов; изучение влияния различных факторов на скорость химической реакции; решение экспериментальных задач по</w:t>
            </w:r>
            <w:r>
              <w:t xml:space="preserve"> темам «Металлы» и  «Неметаллы»)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  <w:r/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spacing w:line="276" w:lineRule="auto"/>
            </w:pPr>
            <w:r>
              <w:t xml:space="preserve">: — задавать вопросы по существу </w:t>
            </w:r>
            <w:r>
              <w:t xml:space="preserve">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  <w:r/>
          </w:p>
          <w:p>
            <w:pPr>
              <w:jc w:val="both"/>
              <w:spacing w:line="276" w:lineRule="auto"/>
            </w:pPr>
            <w:r>
              <w:t xml:space="preserve">— выступать с  презентацией результатов познавательной деятельности, полученных самостоятельно или совместно со сверстниками при</w:t>
            </w:r>
            <w:r>
              <w:t xml:space="preserve">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проведённых исследований путём согласования позиций в ходе обсуждения и обмена мнениями.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Общение: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numPr>
                <w:ilvl w:val="0"/>
                <w:numId w:val="12"/>
              </w:numPr>
              <w:ind w:left="0" w:firstLine="319"/>
              <w:jc w:val="both"/>
              <w:spacing w:line="276" w:lineRule="auto"/>
            </w:pPr>
            <w:r>
              <w:t xml:space="preserve">осуществлять коммуникации во всех сферах жизни;</w:t>
            </w:r>
            <w:r/>
          </w:p>
          <w:p>
            <w:pPr>
              <w:ind w:firstLine="319"/>
              <w:jc w:val="both"/>
              <w:spacing w:line="276" w:lineRule="auto"/>
            </w:pPr>
            <w:r/>
            <w:r/>
          </w:p>
          <w:p>
            <w:pPr>
              <w:numPr>
                <w:ilvl w:val="0"/>
                <w:numId w:val="12"/>
              </w:numPr>
              <w:ind w:left="0" w:firstLine="319"/>
              <w:jc w:val="both"/>
              <w:spacing w:line="276" w:lineRule="auto"/>
            </w:pPr>
            <w:r>
              <w:t xml:space="preserve">владеть различными способами общения и взаимодействия; аргументированно вести диалог, развернуто и логично излагать свою точку зрения с использованием языковых средств.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Совместная деятельность: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numPr>
                <w:ilvl w:val="0"/>
                <w:numId w:val="13"/>
              </w:numPr>
              <w:ind w:left="0" w:firstLine="600"/>
              <w:jc w:val="both"/>
              <w:spacing w:line="276" w:lineRule="auto"/>
            </w:pPr>
            <w: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numPr>
                <w:ilvl w:val="0"/>
                <w:numId w:val="13"/>
              </w:numPr>
              <w:ind w:left="0" w:firstLine="600"/>
              <w:jc w:val="both"/>
              <w:spacing w:line="276" w:lineRule="auto"/>
            </w:pPr>
            <w: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271"/>
              <w:jc w:val="both"/>
              <w:spacing w:after="200" w:line="276" w:lineRule="auto"/>
            </w:pPr>
            <w:r>
              <w:t xml:space="preserve">сформированность умений при проведении практических работ: соблюдать правила пользования химической посудой и  лабораторным обо</w:t>
            </w:r>
            <w:r>
              <w:t xml:space="preserve">рудованием, обращения с веществами в соответствии с инструкциями по выполнению лабораторных химических опытов;;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характеризовать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 сформированность умения раскрывать сущность: окислительно-восстановит</w:t>
            </w:r>
            <w:r>
              <w:t xml:space="preserve">ельных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комплексообразования (на примере гидроксокомплексов цинка и  алюминия);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объяснять закономерности протек</w:t>
            </w:r>
            <w:r>
              <w:t xml:space="preserve">ания химических реакций 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равновесия под влиянием внешних воздействий (принцип Ле Шателье);</w:t>
            </w:r>
            <w:r/>
          </w:p>
          <w:p>
            <w:pPr>
              <w:pStyle w:val="1128"/>
              <w:contextualSpacing/>
              <w:ind w:left="720"/>
              <w:spacing w:after="200" w:line="276" w:lineRule="auto"/>
            </w:pPr>
            <w:r/>
            <w:r/>
          </w:p>
          <w:p>
            <w:pPr>
              <w:ind w:left="-296" w:firstLine="296"/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  <w:r/>
          </w:p>
          <w:p>
            <w:pPr>
              <w:spacing w:line="276" w:lineRule="auto"/>
            </w:pPr>
            <w:r>
              <w:t xml:space="preserve">готовить устные выступления и письменные работы (развернутые ответы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сформированность</w:t>
            </w:r>
            <w:r>
              <w:t xml:space="preserve"> умений: использовать химическую символику для составления 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 окислительно-восстановительных реак</w:t>
            </w:r>
            <w:r>
              <w:t xml:space="preserve">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химического и пространственного строения;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  сформированность умений: устанавливать </w:t>
            </w:r>
            <w:r>
              <w:t xml:space="preserve">принадлежнос</w:t>
            </w:r>
            <w:r>
              <w:t xml:space="preserve">ть 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 (IUPAC) и приводить тривиальные названия для отдельных представителей органических веществ (этилен, аце</w:t>
            </w:r>
            <w:r>
              <w:t xml:space="preserve">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анилин, дивинил, изопрен, хлоропрен, стирол и др.); </w:t>
            </w:r>
            <w:r/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осознания обучающимися своих конституционных прав и  обязанностей, уважения к  закону и  правопорядку; </w:t>
            </w:r>
            <w:r/>
          </w:p>
          <w:p>
            <w:pPr>
              <w:ind w:firstLine="567"/>
              <w:jc w:val="both"/>
            </w:pPr>
            <w:r>
              <w:t xml:space="preserve">— представления о  социальных нормах и  правилах межличностных отношений в  коллективе;</w:t>
            </w:r>
            <w:r/>
          </w:p>
          <w:p>
            <w:pPr>
              <w:ind w:firstLine="567"/>
              <w:jc w:val="both"/>
            </w:pPr>
            <w:r>
              <w:t xml:space="preserve"> — готовности к  совместной творческой деятельности при создании учебных проектов, решении учебных и  познавательных задач, выполнении химических экспериментов; </w:t>
            </w:r>
            <w:r/>
          </w:p>
          <w:p>
            <w:pPr>
              <w:ind w:firstLine="567"/>
              <w:jc w:val="both"/>
            </w:pPr>
            <w:r>
              <w:t xml:space="preserve">— способности понимать </w:t>
            </w:r>
            <w:r>
              <w:t xml:space="preserve">и принимать мотивы, намерения, логику и  аргументы других при анализе различных видов учебной деятельности;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  <w:r/>
          </w:p>
          <w:p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  практиков; </w:t>
            </w:r>
            <w:r/>
          </w:p>
          <w:p>
            <w:pPr>
              <w:ind w:firstLine="567"/>
              <w:jc w:val="both"/>
            </w:pPr>
            <w:r>
              <w:t xml:space="preserve">— интереса и познавательных мотивов в получении и последующем анализе информации о передовых достижениях современной отечественной химии;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  <w:r/>
          </w:p>
          <w:p>
            <w:pPr>
              <w:ind w:firstLine="567"/>
              <w:jc w:val="both"/>
            </w:pPr>
            <w:r>
              <w:t xml:space="preserve">— способности оценивать ситуации, связанные с химическими явлениями, и  принимать осознанные решения, ориентируясь на морально-нравственные нормы и ценности; </w:t>
            </w:r>
            <w:r/>
          </w:p>
          <w:p>
            <w:pPr>
              <w:ind w:firstLine="567"/>
              <w:jc w:val="both"/>
            </w:pPr>
            <w:r>
              <w:t xml:space="preserve"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  <w:r/>
          </w:p>
          <w:p>
            <w:pPr>
              <w:ind w:left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характеризовать источники углеводородного сырья (нефть, природный газ, уголь), способы его переработки и  практическое применение продуктов переработки;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владения системой знаний о естественно-научных методах познания  — наблюдении, измерении, моделировании, эксперименте (реальном и  мысленном) и  уме</w:t>
            </w:r>
            <w:r>
              <w:t xml:space="preserve">ния применять эти знания; сформированность умения применять основные операции мыслительной деятельности  — анализ и  синтез, сравнение, обобщение, систематизацию, выявление причинно-следственных связей — для изучения свойств веществ и  химических реакций;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выявлять взаимосвязь химических знаний с понятиями </w:t>
            </w:r>
            <w:r>
              <w:t xml:space="preserve">и представлениями других естественно-научных предметов для более осознанного понимания сущности материального единства мира; использовать системные знания по органической химии для объяснения и  прогнозирования явлений, имеющих естественно-научную природу;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характеризовать элект</w:t>
            </w:r>
            <w:r>
              <w:t xml:space="preserve">ронное строение атомов и  ионов химических элементов первого— четвёртого периодов Периодической системы Д.  И.  Менделеева, используя понятия «энергетические уровни», «энергетические подуровни», «s-, p-, d-атомные орбитали», «основное и  возбуждённое энерг</w:t>
            </w:r>
            <w:r>
              <w:t xml:space="preserve">етические состояния атома»; объяснять закономерности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элементов на основе строения их электронных оболочек;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характеризовать химические реакции, лежащие в  основе промышленного получения серной кислоты, аммиака, общие научные принципы химических производств; </w:t>
            </w:r>
            <w:r>
              <w:t xml:space="preserve">целесообразность применения неорганических веществ в  промышленности и  в  быту с  точки зрения соотношения риск-польза;</w:t>
            </w:r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Физического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понимания ценностей здорового и  безопасного образа жизни; необходимости ответственного отношения к  собственному физическому и  психическому здоровью; </w:t>
            </w:r>
            <w:r/>
          </w:p>
          <w:p>
            <w:pPr>
              <w:ind w:firstLine="567"/>
              <w:jc w:val="both"/>
            </w:pPr>
            <w:r>
              <w:t xml:space="preserve">— соблюдения правил безопасного обращения с  веществами в  быту, повседневной жизни, в  трудовой деятельности;</w:t>
            </w:r>
            <w:r/>
          </w:p>
          <w:p>
            <w:pPr>
              <w:ind w:firstLine="567"/>
              <w:jc w:val="both"/>
            </w:pPr>
            <w:r>
              <w:t xml:space="preserve"> — понимания ценности правил индивидуального и коллективного безопасного поведения в  ситуациях, угрожающих здоровью и  жизни людей; осознания последствий </w:t>
            </w:r>
            <w:r>
              <w:t xml:space="preserve">и  неприятия вредных привычек (употребления алкоголя, наркотиков, курения);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Экологического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экологически целесообразного отношения к  природе как источнику существования жизни на Земле;</w:t>
            </w:r>
            <w:r/>
          </w:p>
          <w:p>
            <w:pPr>
              <w:ind w:firstLine="567"/>
              <w:jc w:val="both"/>
            </w:pPr>
            <w:r>
              <w:t xml:space="preserve"> — понимания глобального характера экологических проблем, влияния экономических процессов на состояние природной и  социальной среды; </w:t>
            </w:r>
            <w:r/>
          </w:p>
          <w:p>
            <w:pPr>
              <w:ind w:firstLine="567"/>
              <w:jc w:val="both"/>
            </w:pPr>
            <w:r>
              <w:t xml:space="preserve">— осознания необходимости использования достижений химии для решения вопросов рационального природопользования; </w:t>
            </w:r>
            <w:r/>
          </w:p>
          <w:p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  <w:r/>
          </w:p>
          <w:p>
            <w:pPr>
              <w:ind w:firstLine="567"/>
              <w:jc w:val="both"/>
            </w:pPr>
            <w:r>
              <w:t xml:space="preserve">— наличия развитого экологического мышления, экологической культуры, опыта деятельности экологической направленности, умения руководствоваться ими </w:t>
            </w:r>
            <w:r>
              <w:t xml:space="preserve">в познавательной, коммуникативной и  социальной практике, способности и  умения активно противостоять идеологии хемофобии;</w:t>
            </w:r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прогнозировать, анализиров</w:t>
            </w:r>
            <w:r>
              <w:t xml:space="preserve">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соблюдать правила экологически целесообразного поведения в быту и трудовой деятельности в  целях сохранения свое</w:t>
            </w:r>
            <w:r>
              <w:t xml:space="preserve">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органических веществ, понимая смысл показателя ПДК; анализировать целесообразность применения органиче</w:t>
            </w:r>
            <w:r>
              <w:t xml:space="preserve">ских веществ в  промышленности и  в  быту с  точки зрения соотношения риск-польза;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экологически целесообразного поведения в  быту</w:t>
            </w:r>
            <w:r>
              <w:t xml:space="preserve">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неорганических веществ, понимая смысл показателя ПДК</w:t>
            </w:r>
            <w:r/>
          </w:p>
          <w:p>
            <w:pPr>
              <w:jc w:val="both"/>
              <w:spacing w:line="276" w:lineRule="auto"/>
            </w:pPr>
            <w:r/>
            <w:r/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Ценности научного познания: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jc w:val="both"/>
            </w:pPr>
            <w:r>
              <w:t xml:space="preserve">— мировоззрения, соответствующего современному уровню развития науки и  общественной практики; </w:t>
            </w:r>
            <w:r/>
          </w:p>
          <w:p>
            <w:pPr>
              <w:jc w:val="both"/>
            </w:pPr>
            <w:r>
              <w:t xml:space="preserve">— понимания специфики химии ка</w:t>
            </w:r>
            <w:r>
              <w:t xml:space="preserve">к науки, осознания её роли в формировании рационального научного мышления, создании целостного представления об окружающем мире как о  единстве природы и  человека, в  познании природных закономерностей и  решении проблем сохранения природного равновесия; </w:t>
            </w:r>
            <w:r/>
          </w:p>
          <w:p>
            <w:pPr>
              <w:jc w:val="both"/>
            </w:pPr>
            <w:r>
              <w:t xml:space="preserve">— убеждённости в  особой значимости химии для соврем</w:t>
            </w:r>
            <w:r>
              <w:t xml:space="preserve">енной цивилизации: в  её гуманистической направленности и  важной роли в  создании новой базы материальной культуры, в решении глобальных проблем устойчивого развития человечества  — сырьевой, энергетической, пищевой и  экологи- ческой безопасности, в  раз</w:t>
            </w:r>
            <w:r>
              <w:t xml:space="preserve">витии медицины, обеспечении условий успешного труда и  экологически комфортной жизни каждого члена общества; </w:t>
            </w:r>
            <w:r/>
          </w:p>
          <w:p>
            <w:pPr>
              <w:jc w:val="both"/>
            </w:pPr>
            <w:r>
              <w:t xml:space="preserve">— естественно-научной грамотности: понимания сущности методов познания, используемых в  естественных н</w:t>
            </w:r>
            <w:r>
              <w:t xml:space="preserve">ауках, способности использовать получаемые знания для анализа и  объяснения явлений окружающего мира и  происходящих в  нём изменений; умения делать обоснованные заключения на основе научных фактов и  имеющихся данных с  целью получения достоверных выводов</w:t>
            </w:r>
            <w:r/>
          </w:p>
          <w:p>
            <w:pPr>
              <w:jc w:val="both"/>
            </w:pPr>
            <w:r>
              <w:t xml:space="preserve">; — способности самостоятельно использовать химические знания для решения проблем в реальных жизненных ситуациях;</w:t>
            </w:r>
            <w:r/>
          </w:p>
          <w:p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  <w:r/>
          </w:p>
          <w:p>
            <w:pPr>
              <w:jc w:val="both"/>
            </w:pPr>
            <w:r>
              <w:t xml:space="preserve"> — интереса к особенностям труда в различных сферах про</w:t>
            </w:r>
            <w:r>
              <w:t xml:space="preserve">фессиональной деятельности.</w:t>
            </w:r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умений хар</w:t>
            </w:r>
            <w:r>
              <w:t xml:space="preserve">актеризовать состав, строение, физические и  химические свойства типичных представителей различных классов органических веществ: алканов, циклоалканов, алкенов, алкадиенов, алкинов, ароматических углеводородов, спиртов, альдегидов, кетонов, карбоновых кисл</w:t>
            </w:r>
            <w:r>
              <w:t xml:space="preserve">от, простых и  сложных эфиров, жиров, нитросоединений и  аминов, аминокислот, белков, углеводов (моно-, ди- и  полисахаридов); иллюстрировать генетическую связь между ними уравнениями соответствующих химических реакций с использованием структурных формул;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π-связи), взаимного влияния атомов и групп атомов в  молекулах;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</w:t>
            </w:r>
            <w:r>
              <w:t xml:space="preserve">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выявлять взаимосвязь химических знаний с  понятиями и  представлениями других естественно-научных предметов для более осознанного понимания материального единства мира;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проводить расчёты по химическим формулам и уравнениям химических реакций с  использованием физических</w:t>
            </w:r>
            <w:r>
              <w:t xml:space="preserve"> величин (масса, объём газов, количество вещества), характеризующих вещества с 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представлений: о  материальном единстве мира, закономерностях и познаваемости явлений природы; о  месте и  значении химии в  системе естественных наук и  её роли в  обеспечении устойчивого развития, в  решении </w:t>
            </w:r>
            <w:r>
              <w:t xml:space="preserve">проблем экологической, энергетической и  пищевой безопасности, в 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</w:t>
            </w:r>
            <w:r>
              <w:t xml:space="preserve">логически обоснованного отношения к  своему здоровью и  природной среде; </w:t>
            </w:r>
            <w:r/>
          </w:p>
          <w:p>
            <w:pPr>
              <w:pStyle w:val="1128"/>
              <w:ind w:left="0" w:firstLine="360"/>
              <w:jc w:val="both"/>
            </w:pPr>
            <w:r/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владения системой химических знаний, которая включает: основополагающие понятия  — химический элемент, атом, ядро атома,</w:t>
            </w:r>
            <w:r>
              <w:t xml:space="preserve"> изотопы, электронная оболочка атома, s-, p-, d-атомные орбитали, основное и 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</w:t>
            </w:r>
            <w:r>
              <w:t xml:space="preserve">ческая, водородная), кристаллическая решётка,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</w:t>
            </w:r>
            <w:r>
              <w:t xml:space="preserve">еской реакции, химическое равновесие; теории и  законы (теория электролитической диссоциации, периодический закон Д.  И.  Менделеева, закон сохранения массы веществ, закон сохранения и  превращения энергии при химических реакциях, закон постоянства состава</w:t>
            </w:r>
            <w:r>
              <w:t xml:space="preserve"> веществ, закон действующих масс), закономерности, символический язык химии, мировоззренческие знания, лежащие в  основе понимания причинности и  системности химических явлений; современные представления о  строении вещества на атомном, ионно-молекулярном </w:t>
            </w:r>
            <w:r>
              <w:t xml:space="preserve">и  надмолекулярном уровнях; представления о  механизмах химических реакций, термодинамических и  кинетических закономерностях их протекания, о  химическом рав</w:t>
            </w:r>
            <w:r>
              <w:t xml:space="preserve">новесии, растворах и  дисперсных системах; фактологические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научных принципах химического производства; 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spacing w:after="200" w:line="276" w:lineRule="auto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  <w:r/>
          </w:p>
          <w:p>
            <w:pPr>
              <w:pStyle w:val="1128"/>
              <w:numPr>
                <w:ilvl w:val="0"/>
                <w:numId w:val="8"/>
              </w:numPr>
              <w:contextualSpacing/>
              <w:ind w:left="0" w:firstLine="360"/>
              <w:spacing w:after="200" w:line="276" w:lineRule="auto"/>
            </w:pPr>
            <w:r>
              <w:t xml:space="preserve"> сформированность умения использовать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0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0"/>
          <w:szCs w:val="20"/>
          <w:highlight w:val="none"/>
          <w:u w:val="single"/>
        </w:rPr>
      </w:pPr>
      <w:r>
        <w:rPr>
          <w:b/>
          <w:bCs/>
          <w:sz w:val="20"/>
          <w:szCs w:val="20"/>
          <w:u w:val="single"/>
          <w:lang w:eastAsia="en-US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b/>
          <w:bCs/>
          <w:sz w:val="20"/>
          <w:szCs w:val="20"/>
          <w:highlight w:val="none"/>
          <w:u w:val="single"/>
        </w:rPr>
      </w:r>
      <w:r>
        <w:rPr>
          <w:b/>
          <w:bCs/>
          <w:sz w:val="20"/>
          <w:szCs w:val="20"/>
          <w:highlight w:val="none"/>
          <w:u w:val="single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highlight w:val="none"/>
          <w:u w:val="single"/>
          <w:lang w:eastAsia="en-US"/>
        </w:rPr>
      </w:r>
      <w:r>
        <w:rPr>
          <w:sz w:val="20"/>
          <w:szCs w:val="20"/>
          <w:highlight w:val="none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7543"/>
        <w:gridCol w:w="2026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3</w:t>
            </w:r>
            <w:r>
              <w:rPr>
                <w:iCs/>
              </w:rPr>
              <w:t xml:space="preserve">2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11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зачета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1"/>
          <w:footnotePr/>
          <w:endnotePr/>
          <w:type w:val="nextPage"/>
          <w:pgSz w:w="11906" w:h="16838" w:orient="portrait"/>
          <w:pgMar w:top="1134" w:right="851" w:bottom="1134" w:left="1701" w:header="0" w:footer="0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1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2.2. Содержание  дисциплины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</w:rPr>
      </w:r>
    </w:p>
    <w:p>
      <w:pPr>
        <w:pStyle w:val="961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W w:w="15921" w:type="dxa"/>
        <w:tblInd w:w="-3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right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2045"/>
        <w:gridCol w:w="10472"/>
        <w:gridCol w:w="1701"/>
        <w:gridCol w:w="1703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2" w:type="dxa"/>
            <w:textDirection w:val="lrTb"/>
            <w:noWrap w:val="false"/>
          </w:tcPr>
          <w:p>
            <w:pPr>
              <w:pStyle w:val="1141"/>
              <w:jc w:val="center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41"/>
              <w:jc w:val="center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2" w:type="dxa"/>
            <w:textDirection w:val="lrTb"/>
            <w:noWrap w:val="false"/>
          </w:tcPr>
          <w:p>
            <w:pPr>
              <w:pStyle w:val="1141"/>
              <w:jc w:val="center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17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1. Теоретические основы органической химии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1. Предмет органической химии. Теория химического строения органических соединений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3"/>
                <w:numId w:val="4"/>
              </w:numPr>
              <w:ind w:left="0" w:firstLine="0"/>
              <w:spacing w:after="0" w:line="240" w:lineRule="auto"/>
              <w:tabs>
                <w:tab w:val="left" w:pos="357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Предмет органической химии: ее возникновение, развитии и значение в получении новых веществ и минералов. Входной контроль.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3"/>
                <w:numId w:val="4"/>
              </w:numPr>
              <w:ind w:left="0" w:firstLine="0"/>
              <w:spacing w:after="0" w:line="240" w:lineRule="auto"/>
              <w:tabs>
                <w:tab w:val="left" w:pos="357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>
              <w:rPr>
                <w:spacing w:val="-2"/>
              </w:rPr>
              <w:t xml:space="preserve">ОК 01</w:t>
            </w:r>
            <w:bookmarkStart w:id="1" w:name="page52R_mcid15101"/>
            <w:r/>
            <w:bookmarkEnd w:id="1"/>
            <w:r>
              <w:rPr>
                <w:spacing w:val="-2"/>
              </w:rPr>
              <w:br/>
              <w:t xml:space="preserve">ОК 02</w:t>
            </w:r>
            <w:bookmarkStart w:id="2" w:name="page52R_mcid16101"/>
            <w:r/>
            <w:bookmarkEnd w:id="2"/>
            <w:r>
              <w:rPr>
                <w:spacing w:val="-2"/>
              </w:rPr>
              <w:br/>
              <w:t xml:space="preserve">ОК 04</w:t>
            </w:r>
            <w:bookmarkStart w:id="3" w:name="page52R_mcid17101"/>
            <w:r/>
            <w:bookmarkEnd w:id="3"/>
            <w:r>
              <w:rPr>
                <w:spacing w:val="-2"/>
              </w:rPr>
              <w:br/>
            </w:r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rPr>
                <w:spacing w:val="-2"/>
              </w:rPr>
            </w:pPr>
            <w:r>
              <w:rPr>
                <w:spacing w:val="-2"/>
              </w:rPr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tabs>
                <w:tab w:val="left" w:pos="372" w:leader="none"/>
              </w:tabs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Химия в машиностроении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rPr>
                <w:spacing w:val="-2"/>
              </w:rPr>
            </w:pPr>
            <w:r>
              <w:rPr>
                <w:spacing w:val="-2"/>
              </w:rPr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rPr>
                <w:spacing w:val="-2"/>
              </w:rPr>
            </w:pPr>
            <w:r>
              <w:rPr>
                <w:spacing w:val="-2"/>
              </w:rPr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2517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2. Углеводороды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14/3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2. Предельные углеводороды — алканы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4" w:name="page52R_mcid1591"/>
            <w:r/>
            <w:bookmarkEnd w:id="4"/>
            <w:r>
              <w:br/>
              <w:t xml:space="preserve">ОК 02</w:t>
            </w:r>
            <w:bookmarkStart w:id="5" w:name="page52R_mcid1691"/>
            <w:r/>
            <w:bookmarkEnd w:id="5"/>
            <w:r>
              <w:br/>
            </w:r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tabs>
                <w:tab w:val="left" w:pos="387" w:leader="none"/>
              </w:tabs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Алканы: состав и строение, гомологический ряд.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Метан и этан — простейшие представители алканов: физические и химические свойства (реакции замещения и горения), нахождение в природе, получение и применение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3. Непредельные углеводороды: алкены, алкадиены, алкины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6" w:name="page52R_mcid1581"/>
            <w:r/>
            <w:bookmarkEnd w:id="6"/>
            <w:r>
              <w:br/>
              <w:t xml:space="preserve">ОК 02</w:t>
            </w:r>
            <w:bookmarkStart w:id="7" w:name="page52R_mcid1681"/>
            <w:r/>
            <w:bookmarkEnd w:id="7"/>
            <w:r>
              <w:br/>
            </w:r>
            <w:r/>
          </w:p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164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лкены: состав и строение, гомологический ряд.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Этилен и пропилен — простейшие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Алкадиены.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r>
              <w:rPr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9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rPr>
                <w:rStyle w:val="1073"/>
                <w:rFonts w:eastAsia="Calibri"/>
                <w:bCs w:val="0"/>
                <w:i/>
                <w:lang w:eastAsia="en-US"/>
              </w:rPr>
            </w:pPr>
            <w:r>
              <w:rPr>
                <w:rStyle w:val="1073"/>
                <w:rFonts w:eastAsia="Calibri"/>
                <w:bCs w:val="0"/>
                <w:i/>
                <w:lang w:eastAsia="en-US"/>
              </w:rPr>
              <w:t xml:space="preserve">Практические занятия </w:t>
            </w:r>
            <w:r>
              <w:rPr>
                <w:rStyle w:val="1073"/>
                <w:rFonts w:eastAsia="Calibri"/>
                <w:bCs w:val="0"/>
                <w:i/>
                <w:lang w:eastAsia="en-US"/>
              </w:rPr>
            </w:r>
            <w:r>
              <w:rPr>
                <w:rStyle w:val="1073"/>
                <w:rFonts w:eastAsia="Calibri"/>
                <w:bCs w:val="0"/>
                <w:i/>
                <w:lang w:eastAsia="en-US"/>
              </w:rPr>
            </w:r>
          </w:p>
          <w:p>
            <w:pPr>
              <w:pStyle w:val="1128"/>
              <w:numPr>
                <w:ilvl w:val="0"/>
                <w:numId w:val="4"/>
              </w:numPr>
              <w:ind w:left="0" w:firstLine="0"/>
              <w:rPr>
                <w:rStyle w:val="1073"/>
                <w:bCs w:val="0"/>
                <w:i/>
                <w:lang w:eastAsia="en-US"/>
              </w:rPr>
            </w:pPr>
            <w:r>
              <w:rPr>
                <w:rStyle w:val="1073"/>
                <w:rFonts w:eastAsia="Calibri"/>
                <w:b w:val="0"/>
                <w:bCs w:val="0"/>
                <w:lang w:eastAsia="en-US"/>
              </w:rPr>
              <w:t xml:space="preserve">Практическая работа</w:t>
            </w:r>
            <w:r>
              <w:rPr>
                <w:rStyle w:val="1073"/>
                <w:rFonts w:eastAsia="Calibri"/>
                <w:b w:val="0"/>
                <w:bCs w:val="0"/>
                <w:lang w:eastAsia="en-US"/>
              </w:rPr>
              <w:t xml:space="preserve"> №1 </w:t>
            </w:r>
            <w:r>
              <w:rPr>
                <w:rStyle w:val="1073"/>
                <w:rFonts w:eastAsia="Calibri"/>
                <w:b w:val="0"/>
                <w:bCs w:val="0"/>
                <w:lang w:eastAsia="en-US"/>
              </w:rPr>
              <w:t xml:space="preserve">: </w:t>
            </w:r>
            <w:r>
              <w:rPr>
                <w:rStyle w:val="1073"/>
                <w:bCs w:val="0"/>
                <w:i/>
                <w:lang w:eastAsia="en-US"/>
              </w:rPr>
            </w:r>
            <w:r>
              <w:rPr>
                <w:rStyle w:val="1073"/>
                <w:bCs w:val="0"/>
                <w:i/>
                <w:lang w:eastAsia="en-US"/>
              </w:rPr>
            </w:r>
          </w:p>
          <w:p>
            <w:pPr>
              <w:pStyle w:val="1128"/>
              <w:numPr>
                <w:ilvl w:val="0"/>
                <w:numId w:val="4"/>
              </w:numPr>
              <w:ind w:left="0" w:firstLine="0"/>
              <w:rPr>
                <w:b/>
                <w:i/>
                <w:lang w:eastAsia="en-US"/>
              </w:rPr>
            </w:pPr>
            <w:r>
              <w:rPr>
                <w:rStyle w:val="1073"/>
                <w:rFonts w:eastAsia="Calibri"/>
                <w:b w:val="0"/>
                <w:bCs w:val="0"/>
                <w:lang w:eastAsia="en-US"/>
              </w:rPr>
              <w:t xml:space="preserve">Этилен и пропилен— использование при создании  электроизоляционного материала. Правила техники безопасности  при применении  электроизоляционного  материала.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4. Ароматические углеводороды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/>
            <w:bookmarkStart w:id="8" w:name="__DdeLink__4405_29782895931"/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bookmarkEnd w:id="8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9" w:name="page52R_mcid1571"/>
            <w:r/>
            <w:bookmarkEnd w:id="9"/>
            <w:r>
              <w:br/>
              <w:t xml:space="preserve">ОК 02</w:t>
            </w:r>
            <w:bookmarkStart w:id="10" w:name="page52R_mcid1671"/>
            <w:r/>
            <w:bookmarkEnd w:id="10"/>
            <w:r>
              <w:br/>
              <w:t xml:space="preserve">ОК 04</w:t>
            </w:r>
            <w:bookmarkStart w:id="11" w:name="page52R_mcid1771"/>
            <w:r/>
            <w:bookmarkEnd w:id="11"/>
            <w:r>
              <w:br/>
            </w:r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Генетическая связь углеводородов, принадлежащих к различным классам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Style w:val="987"/>
                <w:rFonts w:ascii="Times New Roman" w:hAnsi="Times New Roman" w:eastAsia="Calibri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. Токсичность аренов.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5. Природные источники углеводородов и их переработка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12" w:name="page52R_mcid1561"/>
            <w:r/>
            <w:bookmarkEnd w:id="12"/>
            <w:r>
              <w:br/>
              <w:t xml:space="preserve">ОК 02</w:t>
            </w:r>
            <w:bookmarkStart w:id="13" w:name="page52R_mcid1661"/>
            <w:r/>
            <w:bookmarkEnd w:id="13"/>
            <w:r>
              <w:br/>
              <w:t xml:space="preserve">ОК 04</w:t>
            </w:r>
            <w:bookmarkStart w:id="14" w:name="page52R_mcid1761"/>
            <w:r/>
            <w:bookmarkEnd w:id="14"/>
            <w:r>
              <w:br/>
            </w:r>
            <w:r/>
          </w:p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</w:tr>
      <w:tr>
        <w:tblPrEx/>
        <w:trPr>
          <w:trHeight w:val="24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Природные источники углеводородов.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Природный газ и попутные нефтяные газы.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Каменный уголь и продукты его переработки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Практическая работа № 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Получение этилена и изучение его свойств.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Практическая работа №3.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Решение задач на вычисление: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ых веществ или продуктов реакции)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2517" w:type="dxa"/>
            <w:textDirection w:val="lrTb"/>
            <w:noWrap w:val="false"/>
          </w:tcPr>
          <w:p>
            <w:pPr>
              <w:pStyle w:val="1143"/>
              <w:jc w:val="left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3. Кислородсодержащие органические соединения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6. Спирты. Фенол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15" w:name="page52R_mcid1551"/>
            <w:r/>
            <w:bookmarkEnd w:id="15"/>
            <w:r>
              <w:br/>
              <w:t xml:space="preserve">ОК 02</w:t>
            </w:r>
            <w:bookmarkStart w:id="16" w:name="page52R_mcid1651"/>
            <w:r/>
            <w:bookmarkEnd w:id="16"/>
            <w:r>
              <w:br/>
            </w:r>
            <w:bookmarkStart w:id="17" w:name="page52R_mcid1751"/>
            <w:r/>
            <w:bookmarkEnd w:id="17"/>
            <w:r>
              <w:br/>
            </w:r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применение.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Водородная связь. Действие метанола и этанола на организм человека.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Фенол. Строение молекулы, физические и химические свойства фенола. Токсичность фенола. Применение фенола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7. Альдегиды. Карбоновые кислоты. Сложные эфиры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18" w:name="page52R_mcid15111"/>
            <w:r/>
            <w:bookmarkEnd w:id="18"/>
            <w:r>
              <w:br/>
              <w:t xml:space="preserve">ОК 02</w:t>
            </w:r>
            <w:bookmarkStart w:id="19" w:name="page52R_mcid16111"/>
            <w:r/>
            <w:bookmarkEnd w:id="19"/>
            <w:r>
              <w:br/>
            </w:r>
            <w:r/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Альдегиды и </w:t>
            </w:r>
            <w:r>
              <w:rPr>
                <w:rStyle w:val="987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кетоны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Style w:val="987"/>
                <w:rFonts w:ascii="Times New Roman" w:hAnsi="Times New Roman" w:cs="Times New Roman"/>
                <w:b/>
                <w:iCs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987"/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Ацетон: строение, физические и химические свойства (реакции окисления и восстановления), получение и применение.</w:t>
            </w:r>
            <w:r>
              <w:rPr>
                <w:rStyle w:val="987"/>
                <w:rFonts w:ascii="Times New Roman" w:hAnsi="Times New Roman" w:cs="Times New Roman"/>
                <w:b/>
                <w:iCs w:val="0"/>
                <w:color w:val="auto"/>
                <w:sz w:val="24"/>
                <w:szCs w:val="24"/>
                <w:lang w:eastAsia="en-US"/>
              </w:rPr>
            </w:r>
            <w:r>
              <w:rPr>
                <w:rStyle w:val="987"/>
                <w:rFonts w:ascii="Times New Roman" w:hAnsi="Times New Roman" w:cs="Times New Roman"/>
                <w:b/>
                <w:iCs w:val="0"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Сложные эфиры как производные кар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бо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но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вых кислот. Гидролиз сложных эфиров. Жиры. Гидролиз жиров.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Применение жиров. Биологическая роль жиров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8. Углеводы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20" w:name="page52R_mcid1541"/>
            <w:r/>
            <w:bookmarkEnd w:id="20"/>
            <w:r>
              <w:br/>
              <w:t xml:space="preserve">ОК 02</w:t>
            </w:r>
            <w:bookmarkStart w:id="21" w:name="page52R_mcid1641"/>
            <w:r/>
            <w:bookmarkEnd w:id="21"/>
            <w:r>
              <w:br/>
              <w:t xml:space="preserve">ОК 04</w:t>
            </w:r>
            <w:bookmarkStart w:id="22" w:name="page52R_mcid1741"/>
            <w:r/>
            <w:bookmarkEnd w:id="22"/>
            <w:r>
              <w:br/>
            </w:r>
            <w:r/>
          </w:p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</w:tr>
      <w:tr>
        <w:tblPrEx/>
        <w:trPr>
          <w:trHeight w:val="21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Теоретическое обучение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Углеводы: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состав,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классификация углеводов (моно-, ди- и полисахариды).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Глюкоза — простейший моносахарид: особенности строения молек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Сахароза — представитель дисахаридов, гидролиз, нахождение в природе и применение.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Лабораторная работа №1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Горение спиртов; окисление этанола оксидом меди(II); взаимодействие глицерина с гидроксидом меди(II). Окисление альдегидов аммиачным раствором оксида серебра(I) и гидроксидом меди(II); взаимодействие крахмала с иодом.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№ 4.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Свойства раствора уксусной кислоты.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Решение задач на вычисление: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2517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4. Азотсодержащие органические соединения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9. Амины. Аминокислоты. Белки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r>
              <w:t xml:space="preserve">ОК 01</w:t>
            </w:r>
            <w:bookmarkStart w:id="23" w:name="page52R_mcid1521"/>
            <w:r/>
            <w:bookmarkEnd w:id="23"/>
            <w:r>
              <w:br/>
              <w:t xml:space="preserve">ОК 02</w:t>
            </w:r>
            <w:bookmarkStart w:id="24" w:name="page52R_mcid1621"/>
            <w:r/>
            <w:bookmarkEnd w:id="24"/>
            <w:r>
              <w:br/>
            </w:r>
            <w:bookmarkStart w:id="25" w:name="page52R_mcid1721"/>
            <w:r/>
            <w:bookmarkEnd w:id="25"/>
            <w:r>
              <w:br/>
            </w:r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220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Белки как природные высокомолекулярные соединения. Первичная, вторичная и третичная структура белков.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Химические свойства белков: гидролиз, денатурация, качественные реакции на белки.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Style w:val="987"/>
                <w:rFonts w:ascii="Times New Roman" w:hAnsi="Times New Roman" w:eastAsia="Calibri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Амины. Метиламин и анилин: состав, строение, физические и химические свойства (горение, взаимодействие с водой и кислотами).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2517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Раздел. 5. Высокомолекулярные соединения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10. Пластмассы. Каучуки. Волокна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26" w:name="page52R_mcid1531"/>
            <w:r/>
            <w:bookmarkEnd w:id="26"/>
            <w:r>
              <w:br/>
              <w:t xml:space="preserve">ОК 02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 — полимеризация и поликонденсация.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Демонстрация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ознакомление с образцами природных и искусственных волокон, пластмасс, каучуков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Style w:val="107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Лабораторная работа №2 </w:t>
            </w:r>
            <w:r>
              <w:rPr>
                <w:rStyle w:val="107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Style w:val="1073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знакомление с образцами пластмасс, каучуков и резины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78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2517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Раздел 6. Теоретические основы химии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11. Строение атомов. Периодический закон и Периодическая система химических элементов Д. И. Менделеева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Химический элемент. Атом. Ядро атома, изотопы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s-, p-, d-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енты. Особенности распределения электронов по орбиталям в атомах элементов первых четырёх периодов. Электронная конфигурация атомов. .  Закономерности изменения свойств химических элементов и образуемых ими простых и сложных веществ по группам и периодам.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12. Строение вещества. Многообразие веществ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r/>
          </w:p>
          <w:p>
            <w:r>
              <w:t xml:space="preserve">ОК 02</w:t>
            </w:r>
            <w:bookmarkStart w:id="27" w:name="page52R_mcid16121"/>
            <w:r/>
            <w:bookmarkEnd w:id="27"/>
            <w:r>
              <w:br/>
            </w:r>
            <w:r/>
          </w:p>
          <w:p>
            <w:r/>
            <w:bookmarkStart w:id="28" w:name="page32R_mcid4831"/>
            <w:r/>
            <w:bookmarkEnd w:id="28"/>
            <w:r>
              <w:br/>
            </w:r>
            <w:r/>
          </w:p>
          <w:p>
            <w:r/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Строение вещества.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Химическая связь. Виды хими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Типы кристаллических решёток и свойства веществ. Массовая доля вещества в растворе.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Классификация неорганических соединений. Номенклатура неорганических веществ. Генетическая связь неорганических веществ, принадлежащих к различным классам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13. Химические реакции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29" w:name="page32R_mcid4841"/>
            <w:r/>
            <w:bookmarkEnd w:id="29"/>
            <w:r>
              <w:br/>
              <w:t xml:space="preserve">ОК 02</w:t>
            </w:r>
            <w:bookmarkStart w:id="30" w:name="page52R_mcid16131"/>
            <w:r/>
            <w:bookmarkEnd w:id="30"/>
            <w:r>
              <w:br/>
              <w:t xml:space="preserve">ОК 04</w:t>
            </w:r>
            <w:bookmarkStart w:id="31" w:name="page52R_mcid17131"/>
            <w:r/>
            <w:bookmarkEnd w:id="31"/>
            <w:r>
              <w:br/>
            </w:r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Обратимые реакции. Химическое равновесие. Факторы, влияющие на состояние химического равновесия. Принцип Ле Шателье.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Style w:val="987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 водородном показателе (pH) раствора.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Реакции ионного обмена. </w:t>
            </w:r>
            <w:r>
              <w:rPr>
                <w:rStyle w:val="987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Гидролиз органических и неорганических веществ.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Окислительно-восстановительные реакции. </w:t>
            </w:r>
            <w:r>
              <w:rPr>
                <w:rStyle w:val="987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об электролизе расплавов и растворов солей. Применение электролиза.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59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Практическая работа № 5. Решение задач на вычисление: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28"/>
              <w:numPr>
                <w:ilvl w:val="0"/>
                <w:numId w:val="4"/>
              </w:numPr>
              <w:ind w:left="0" w:firstLine="0"/>
              <w:rPr>
                <w:rStyle w:val="1073"/>
                <w:rFonts w:eastAsia="Calibri"/>
                <w:i/>
                <w:iCs/>
                <w:lang w:eastAsia="en-US"/>
              </w:rPr>
            </w:pPr>
            <w:r>
              <w:rPr>
                <w:rStyle w:val="1073"/>
                <w:b w:val="0"/>
                <w:bCs w:val="0"/>
                <w:lang w:eastAsia="en-US"/>
              </w:rPr>
              <w:t xml:space="preserve">Практическая работа №6 </w:t>
            </w:r>
            <w:r>
              <w:rPr>
                <w:rStyle w:val="1073"/>
                <w:rFonts w:eastAsia="Calibri"/>
                <w:i/>
                <w:iCs/>
                <w:lang w:eastAsia="en-US"/>
              </w:rPr>
            </w:r>
            <w:r>
              <w:rPr>
                <w:rStyle w:val="1073"/>
                <w:rFonts w:eastAsia="Calibri"/>
                <w:i/>
                <w:iCs/>
                <w:lang w:eastAsia="en-US"/>
              </w:rPr>
            </w:r>
          </w:p>
          <w:p>
            <w:pPr>
              <w:ind w:left="0" w:firstLine="0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Style w:val="1073"/>
                <w:b w:val="0"/>
                <w:bCs w:val="0"/>
                <w:lang w:eastAsia="en-US"/>
              </w:rPr>
              <w:t xml:space="preserve">Защита металла от коррозий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517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7. Неорганическая химия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14 Неме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таллы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32" w:name="page32R_mcid4815"/>
            <w:r/>
            <w:bookmarkEnd w:id="32"/>
            <w:r>
              <w:br/>
            </w:r>
            <w:r>
              <w:t xml:space="preserve">ОК 02</w:t>
            </w:r>
            <w:r/>
          </w:p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Применение важнейших неметаллов и их соединений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Демонстрации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образцы неметаллов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15 Металлы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35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lang w:val="ru-RU"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33" w:name="page32R_mcid4851"/>
            <w:r/>
            <w:bookmarkEnd w:id="33"/>
            <w:r>
              <w:br/>
              <w:t xml:space="preserve">ОК 02</w:t>
            </w:r>
            <w:bookmarkStart w:id="34" w:name="page52R_mcid16141"/>
            <w:r/>
            <w:bookmarkEnd w:id="34"/>
            <w:r>
              <w:br/>
              <w:t xml:space="preserve">ОК 04</w:t>
            </w:r>
            <w:bookmarkStart w:id="35" w:name="page52R_mcid17141"/>
            <w:r/>
            <w:bookmarkEnd w:id="35"/>
            <w:r>
              <w:br/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Сплавы металлов.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Электрохимический ряд напряжений металлов.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бщие способы получения металлов.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Металлургия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машиностроении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87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Коррозия металлов. Способы защиты от коррозии.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Применение металлов в быту и технике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9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42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517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8. Химия и жизнь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16. Химия и жизнь </w:t>
            </w:r>
            <w:r>
              <w:rPr>
                <w:rStyle w:val="107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1079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Роль химии в обеспечении экологической, энергетической и пищевой безопасности, развитии медицины.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 научных методах познания веществ и химических реакций.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Представления об общих научных принципах промышленного получения важнейших веществ.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36" w:name="page52R_mcid151"/>
            <w:r/>
            <w:bookmarkEnd w:id="36"/>
            <w:r>
              <w:br/>
              <w:t xml:space="preserve">ОК 02</w:t>
            </w:r>
            <w:bookmarkStart w:id="37" w:name="page52R_mcid161"/>
            <w:r/>
            <w:bookmarkEnd w:id="37"/>
            <w:r>
              <w:br/>
              <w:t xml:space="preserve">ОК 04</w:t>
            </w:r>
            <w:bookmarkStart w:id="38" w:name="page52R_mcid171"/>
            <w:r/>
            <w:bookmarkEnd w:id="38"/>
            <w:r>
              <w:br/>
              <w:t xml:space="preserve">ОК 07</w:t>
            </w:r>
            <w:r/>
          </w:p>
          <w:p>
            <w:r/>
            <w:r/>
          </w:p>
        </w:tc>
      </w:tr>
      <w:tr>
        <w:tblPrEx/>
        <w:trPr>
          <w:trHeight w:val="38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pStyle w:val="1141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5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Теоретические обучение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128"/>
              <w:numPr>
                <w:ilvl w:val="0"/>
                <w:numId w:val="4"/>
              </w:numPr>
              <w:ind w:left="0" w:firstLine="0"/>
              <w:rPr>
                <w:b/>
                <w:i/>
                <w:lang w:eastAsia="en-US"/>
              </w:rPr>
            </w:pPr>
            <w:r>
              <w:rPr>
                <w:b/>
              </w:rPr>
              <w:t xml:space="preserve"> </w:t>
            </w:r>
            <w:r>
              <w:t xml:space="preserve">Бытовая химическая грамотность. Загрязнение окружающей среды полимерными материалами и металлами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47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bookmarkStart w:id="39" w:name="_GoBack"/>
            <w:r/>
            <w:bookmarkEnd w:id="39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3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517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rPr>
                <w:b/>
              </w:rPr>
              <w:t xml:space="preserve">54. Промежуточная аттестация в форме з</w:t>
            </w:r>
            <w:r>
              <w:rPr>
                <w:b/>
              </w:rPr>
              <w:t xml:space="preserve">ачет</w:t>
            </w:r>
            <w:r>
              <w:rPr>
                <w:b/>
              </w:rPr>
              <w:t xml:space="preserve">а</w:t>
            </w:r>
            <w:r>
              <w:rPr>
                <w:b/>
              </w:rPr>
              <w:t xml:space="preserve">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3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517" w:type="dxa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pStyle w:val="1136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703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br w:type="page" w:clear="all"/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  <w:sectPr>
          <w:footerReference w:type="default" r:id="rId12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720" w:equalWidth="1"/>
          <w:docGrid w:linePitch="360"/>
        </w:sect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1"/>
        <w:ind w:left="1069"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3. условия реализации  дисциплины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3.1. </w:t>
      </w:r>
      <w:r>
        <w:rPr>
          <w:rFonts w:ascii="Times New Roman" w:hAnsi="Times New Roman"/>
          <w:b/>
          <w:bCs/>
          <w:sz w:val="24"/>
          <w:szCs w:val="24"/>
        </w:rPr>
        <w:t xml:space="preserve">Материально-техническое обеспечение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Кабинет Химии,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66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70" w:type="dxa"/>
          <w:right w:w="75" w:type="dxa"/>
        </w:tblCellMar>
        <w:tblLook w:val="0000" w:firstRow="0" w:lastRow="0" w:firstColumn="0" w:lastColumn="0" w:noHBand="0" w:noVBand="0"/>
      </w:tblPr>
      <w:tblGrid>
        <w:gridCol w:w="3055"/>
        <w:gridCol w:w="6811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5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Химии № 205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10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Автоматизированное рабочее место преподавателя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Ученические места- 30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Ученическая доска-1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284"/>
        <w:jc w:val="both"/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sz w:val="24"/>
          <w:szCs w:val="24"/>
        </w:rPr>
      </w:r>
    </w:p>
    <w:p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56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128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Габриелян О.С.. Химия 10 кл. Учебник. Базовый.-М.: Просвещение.-2023.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Габриелян О.С. Химия 11 кл. Учебник. Базовый.-М.: Просвещение.-2023.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Рудзитис Г.Е. Химия 10 кл. Учебник. Базовый.-М.: Просвещение.-2022.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8"/>
          <w:szCs w:val="28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4.Ру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дзитис Г.Е. Химия 11 кл. Учебник. Базовый.-М.: Просвещение.-2022.</w:t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84"/>
        <w:jc w:val="both"/>
        <w:rPr>
          <w:bCs w:val="0"/>
          <w:i w:val="0"/>
          <w:color w:val="000000" w:themeColor="text1"/>
          <w:sz w:val="28"/>
          <w:szCs w:val="28"/>
        </w:rPr>
      </w:pPr>
      <w:r>
        <w:rPr>
          <w:i w:val="0"/>
          <w:i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i w:val="0"/>
          <w:iCs w:val="0"/>
          <w:color w:val="000000" w:themeColor="text1"/>
          <w:sz w:val="28"/>
          <w:szCs w:val="28"/>
        </w:rPr>
      </w:r>
      <w:r>
        <w:rPr>
          <w:bCs w:val="0"/>
          <w:i w:val="0"/>
          <w:color w:val="000000" w:themeColor="text1"/>
          <w:sz w:val="28"/>
          <w:szCs w:val="28"/>
        </w:rPr>
      </w:r>
    </w:p>
    <w:p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Габриелян О.С. Химия 10 кл.: учебник. Углубленный.-М.: Просвещение.-2019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2.Габриелян О.С. Химия 10 кл.: учебник. Углубленный.-М.: Просвещение.-2019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Еремин В.В. Химия: 10 класс: углублённый уровень : учебник. — Москва : 4.Просвещение, 2023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5.Еремин В.В. Химия: 11 класс: углублённый уровень : учебник. — Москва : 6.Просвещение, 2023.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7.Пузаков, С. А. Химия : 11 класс : углублённый уровень : учебник.— Москва : Просвещение, 2022.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8.Пузаков, С. А. Химия. 10 класс: углублённый уровень : учебник. — Москва : Просвещение, 2022.</w:t>
      </w:r>
      <w:r>
        <w:rPr>
          <w:sz w:val="24"/>
          <w:szCs w:val="24"/>
        </w:rPr>
      </w:r>
      <w:r>
        <w:rPr>
          <w:szCs w:val="24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9.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Рудзитис Г.Е. Химия 10 кл. Учебник. Базовый.-М.: Просвещение.-2021.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10.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Руд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зитис Г.Е. Химия 10 кл. Учебник. Базовый.-М.: Просвещение.-2020.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55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алгоритмов выполнения работ в профессиональной и смежных областях;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 методов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деятельности.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номенклатуры информационных источников, применяемых в профессиональной деятельности; –показывает знания приемов структурирования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–показывает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–показывает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–показывает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 проектной деятельности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основных ресурсов, задействованных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путей обеспечения ресурсосбережения;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принципов бережливого производства;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основных направлений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соблюдает нормы экологической безопасности;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footerReference w:type="default" r:id="rId13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choolBookSanPin-Bold"/>
  <w:font w:name="Segoe UI">
    <w:panose1 w:val="020B0502040504020204"/>
  </w:font>
  <w:font w:name="Minion Pro"/>
  <w:font w:name="TimesNewRomanPSMT"/>
  <w:font w:name="Calibri">
    <w:panose1 w:val="020F0502020204030204"/>
  </w:font>
  <w:font w:name="Verdana">
    <w:panose1 w:val="020B0603030804020204"/>
  </w:font>
  <w:font w:name="Times New Roman;serif"/>
  <w:font w:name="Times New Roman Полужирный"/>
  <w:font w:name="Symbol">
    <w:panose1 w:val="05010000000000000000"/>
  </w:font>
  <w:font w:name="Courier New">
    <w:panose1 w:val="02070409020205020404"/>
  </w:font>
  <w:font w:name="OpenSymbol">
    <w:panose1 w:val="05010000000000000000"/>
  </w:font>
  <w:font w:name="Lohit Devanagari">
    <w:panose1 w:val="020B0600000000000000"/>
  </w:font>
  <w:font w:name="Times New Roman">
    <w:panose1 w:val="02020603050405020304"/>
  </w:font>
  <w:font w:name="Century Schoolbook">
    <w:panose1 w:val="02060603050605020204"/>
  </w:font>
  <w:font w:name="Wingdings">
    <w:panose1 w:val="05010000000000000000"/>
  </w:font>
  <w:font w:name="Liberation Sans">
    <w:panose1 w:val="020B0604020202020204"/>
  </w:font>
  <w:font w:name="Noto Sans CJK SC"/>
  <w:font w:name="SchoolBookSanPin"/>
  <w:font w:name="Tahoma">
    <w:panose1 w:val="020B0506030602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6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4</w:t>
    </w:r>
    <w:r>
      <w:fldChar w:fldCharType="end"/>
    </w:r>
    <w:r/>
  </w:p>
  <w:p>
    <w:pPr>
      <w:pStyle w:val="111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6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20</w:t>
    </w:r>
    <w:r>
      <w:fldChar w:fldCharType="end"/>
    </w:r>
    <w:r/>
  </w:p>
  <w:p>
    <w:pPr>
      <w:pStyle w:val="1116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6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21</w:t>
    </w:r>
    <w:r>
      <w:fldChar w:fldCharType="end"/>
    </w:r>
    <w:r/>
  </w:p>
  <w:p>
    <w:pPr>
      <w:pStyle w:val="1116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6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31</w:t>
    </w:r>
    <w:r>
      <w:fldChar w:fldCharType="end"/>
    </w:r>
    <w:r/>
  </w:p>
  <w:p>
    <w:pPr>
      <w:pStyle w:val="1116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6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33</w:t>
    </w:r>
    <w:r>
      <w:fldChar w:fldCharType="end"/>
    </w:r>
    <w:r/>
  </w:p>
  <w:p>
    <w:pPr>
      <w:pStyle w:val="111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OpenSymbol"/>
        <w:sz w:val="28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OpenSymbol"/>
      </w:rPr>
    </w:lvl>
    <w:lvl w:ilvl="2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OpenSymbol"/>
      </w:rPr>
    </w:lvl>
    <w:lvl w:ilvl="4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 w:cs="OpenSymbol"/>
      </w:rPr>
    </w:lvl>
    <w:lvl w:ilvl="5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OpenSymbol"/>
      </w:rPr>
    </w:lvl>
    <w:lvl w:ilvl="7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 w:cs="OpenSymbol"/>
      </w:rPr>
    </w:lvl>
    <w:lvl w:ilvl="8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 w:cs="OpenSymbol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OpenSymbol"/>
        <w:sz w:val="28"/>
      </w:rPr>
    </w:lvl>
    <w:lvl w:ilvl="1">
      <w:start w:val="1"/>
      <w:numFmt w:val="bullet"/>
      <w:isLgl w:val="false"/>
      <w:suff w:val="tab"/>
      <w:lvlText w:val="◦"/>
      <w:lvlJc w:val="left"/>
      <w:pPr>
        <w:ind w:left="1080" w:hanging="360"/>
        <w:tabs>
          <w:tab w:val="num" w:pos="1080" w:leader="none"/>
        </w:tabs>
      </w:pPr>
      <w:rPr>
        <w:rFonts w:hint="default"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360"/>
        <w:tabs>
          <w:tab w:val="num" w:pos="1440" w:leader="none"/>
        </w:tabs>
      </w:pPr>
      <w:rPr>
        <w:rFonts w:hint="default"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2160" w:hanging="360"/>
        <w:tabs>
          <w:tab w:val="num" w:pos="2160" w:leader="none"/>
        </w:tabs>
      </w:pPr>
      <w:rPr>
        <w:rFonts w:hint="default"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520" w:hanging="360"/>
        <w:tabs>
          <w:tab w:val="num" w:pos="2520" w:leader="none"/>
        </w:tabs>
      </w:pPr>
      <w:rPr>
        <w:rFonts w:hint="default"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3240" w:hanging="360"/>
        <w:tabs>
          <w:tab w:val="num" w:pos="3240" w:leader="none"/>
        </w:tabs>
      </w:pPr>
      <w:rPr>
        <w:rFonts w:hint="default"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600" w:hanging="360"/>
        <w:tabs>
          <w:tab w:val="num" w:pos="3600" w:leader="none"/>
        </w:tabs>
      </w:pPr>
      <w:rPr>
        <w:rFonts w:hint="default" w:ascii="OpenSymbol" w:hAnsi="OpenSymbol" w:cs="OpenSymbol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  <w:rPr>
        <w:b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60" w:hanging="360"/>
      </w:pPr>
      <w:rPr>
        <w:rFonts w:hint="default" w:ascii="Symbol" w:hAnsi="Symbol" w:cs="Symbo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60" w:hanging="360"/>
      </w:pPr>
      <w:rPr>
        <w:rFonts w:hint="default" w:ascii="Symbol" w:hAnsi="Symbol" w:cs="Symbo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21"/>
  </w:num>
  <w:num w:numId="2">
    <w:abstractNumId w:val="2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5"/>
  </w:num>
  <w:num w:numId="8">
    <w:abstractNumId w:val="14"/>
  </w:num>
  <w:num w:numId="9">
    <w:abstractNumId w:val="12"/>
  </w:num>
  <w:num w:numId="10">
    <w:abstractNumId w:val="1"/>
  </w:num>
  <w:num w:numId="11">
    <w:abstractNumId w:val="10"/>
  </w:num>
  <w:num w:numId="12">
    <w:abstractNumId w:val="20"/>
  </w:num>
  <w:num w:numId="13">
    <w:abstractNumId w:val="16"/>
  </w:num>
  <w:num w:numId="14">
    <w:abstractNumId w:val="13"/>
  </w:num>
  <w:num w:numId="15">
    <w:abstractNumId w:val="11"/>
  </w:num>
  <w:num w:numId="16">
    <w:abstractNumId w:val="5"/>
  </w:num>
  <w:num w:numId="17">
    <w:abstractNumId w:val="4"/>
  </w:num>
  <w:num w:numId="18">
    <w:abstractNumId w:val="9"/>
  </w:num>
  <w:num w:numId="19">
    <w:abstractNumId w:val="18"/>
  </w:num>
  <w:num w:numId="20">
    <w:abstractNumId w:val="8"/>
  </w:num>
  <w:num w:numId="21">
    <w:abstractNumId w:val="7"/>
  </w:num>
  <w:num w:numId="22">
    <w:abstractNumId w:val="17"/>
  </w:num>
  <w:num w:numId="23">
    <w:abstractNumId w:val="1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2">
    <w:name w:val="Heading 1 Char"/>
    <w:basedOn w:val="964"/>
    <w:link w:val="961"/>
    <w:uiPriority w:val="9"/>
    <w:rPr>
      <w:rFonts w:ascii="Arial" w:hAnsi="Arial" w:eastAsia="Arial" w:cs="Arial"/>
      <w:sz w:val="40"/>
      <w:szCs w:val="40"/>
    </w:rPr>
  </w:style>
  <w:style w:type="character" w:styleId="793">
    <w:name w:val="Heading 2 Char"/>
    <w:basedOn w:val="964"/>
    <w:link w:val="962"/>
    <w:uiPriority w:val="9"/>
    <w:rPr>
      <w:rFonts w:ascii="Arial" w:hAnsi="Arial" w:eastAsia="Arial" w:cs="Arial"/>
      <w:sz w:val="34"/>
    </w:rPr>
  </w:style>
  <w:style w:type="paragraph" w:styleId="794">
    <w:name w:val="Heading 3"/>
    <w:basedOn w:val="960"/>
    <w:next w:val="960"/>
    <w:link w:val="7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5">
    <w:name w:val="Heading 3 Char"/>
    <w:basedOn w:val="964"/>
    <w:link w:val="794"/>
    <w:uiPriority w:val="9"/>
    <w:rPr>
      <w:rFonts w:ascii="Arial" w:hAnsi="Arial" w:eastAsia="Arial" w:cs="Arial"/>
      <w:sz w:val="30"/>
      <w:szCs w:val="30"/>
    </w:rPr>
  </w:style>
  <w:style w:type="paragraph" w:styleId="796">
    <w:name w:val="Heading 4"/>
    <w:basedOn w:val="960"/>
    <w:next w:val="960"/>
    <w:link w:val="7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7">
    <w:name w:val="Heading 4 Char"/>
    <w:basedOn w:val="964"/>
    <w:link w:val="796"/>
    <w:uiPriority w:val="9"/>
    <w:rPr>
      <w:rFonts w:ascii="Arial" w:hAnsi="Arial" w:eastAsia="Arial" w:cs="Arial"/>
      <w:b/>
      <w:bCs/>
      <w:sz w:val="26"/>
      <w:szCs w:val="26"/>
    </w:rPr>
  </w:style>
  <w:style w:type="paragraph" w:styleId="798">
    <w:name w:val="Heading 5"/>
    <w:basedOn w:val="960"/>
    <w:next w:val="960"/>
    <w:link w:val="7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9">
    <w:name w:val="Heading 5 Char"/>
    <w:basedOn w:val="964"/>
    <w:link w:val="798"/>
    <w:uiPriority w:val="9"/>
    <w:rPr>
      <w:rFonts w:ascii="Arial" w:hAnsi="Arial" w:eastAsia="Arial" w:cs="Arial"/>
      <w:b/>
      <w:bCs/>
      <w:sz w:val="24"/>
      <w:szCs w:val="24"/>
    </w:rPr>
  </w:style>
  <w:style w:type="paragraph" w:styleId="800">
    <w:name w:val="Heading 6"/>
    <w:basedOn w:val="960"/>
    <w:next w:val="960"/>
    <w:link w:val="8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1">
    <w:name w:val="Heading 6 Char"/>
    <w:basedOn w:val="964"/>
    <w:link w:val="800"/>
    <w:uiPriority w:val="9"/>
    <w:rPr>
      <w:rFonts w:ascii="Arial" w:hAnsi="Arial" w:eastAsia="Arial" w:cs="Arial"/>
      <w:b/>
      <w:bCs/>
      <w:sz w:val="22"/>
      <w:szCs w:val="22"/>
    </w:rPr>
  </w:style>
  <w:style w:type="paragraph" w:styleId="802">
    <w:name w:val="Heading 7"/>
    <w:basedOn w:val="960"/>
    <w:next w:val="960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3">
    <w:name w:val="Heading 7 Char"/>
    <w:basedOn w:val="964"/>
    <w:link w:val="8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4">
    <w:name w:val="Heading 8"/>
    <w:basedOn w:val="960"/>
    <w:next w:val="960"/>
    <w:link w:val="8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5">
    <w:name w:val="Heading 8 Char"/>
    <w:basedOn w:val="964"/>
    <w:link w:val="804"/>
    <w:uiPriority w:val="9"/>
    <w:rPr>
      <w:rFonts w:ascii="Arial" w:hAnsi="Arial" w:eastAsia="Arial" w:cs="Arial"/>
      <w:i/>
      <w:iCs/>
      <w:sz w:val="22"/>
      <w:szCs w:val="22"/>
    </w:rPr>
  </w:style>
  <w:style w:type="character" w:styleId="806">
    <w:name w:val="Heading 9 Char"/>
    <w:basedOn w:val="964"/>
    <w:link w:val="963"/>
    <w:uiPriority w:val="9"/>
    <w:rPr>
      <w:rFonts w:ascii="Arial" w:hAnsi="Arial" w:eastAsia="Arial" w:cs="Arial"/>
      <w:i/>
      <w:iCs/>
      <w:sz w:val="21"/>
      <w:szCs w:val="21"/>
    </w:rPr>
  </w:style>
  <w:style w:type="paragraph" w:styleId="807">
    <w:name w:val="Title"/>
    <w:basedOn w:val="960"/>
    <w:next w:val="960"/>
    <w:link w:val="8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8">
    <w:name w:val="Title Char"/>
    <w:basedOn w:val="964"/>
    <w:link w:val="807"/>
    <w:uiPriority w:val="10"/>
    <w:rPr>
      <w:sz w:val="48"/>
      <w:szCs w:val="48"/>
    </w:rPr>
  </w:style>
  <w:style w:type="paragraph" w:styleId="809">
    <w:name w:val="Subtitle"/>
    <w:basedOn w:val="960"/>
    <w:next w:val="960"/>
    <w:link w:val="810"/>
    <w:uiPriority w:val="11"/>
    <w:qFormat/>
    <w:pPr>
      <w:spacing w:before="200" w:after="200"/>
    </w:pPr>
    <w:rPr>
      <w:sz w:val="24"/>
      <w:szCs w:val="24"/>
    </w:rPr>
  </w:style>
  <w:style w:type="character" w:styleId="810">
    <w:name w:val="Subtitle Char"/>
    <w:basedOn w:val="964"/>
    <w:link w:val="809"/>
    <w:uiPriority w:val="11"/>
    <w:rPr>
      <w:sz w:val="24"/>
      <w:szCs w:val="24"/>
    </w:rPr>
  </w:style>
  <w:style w:type="paragraph" w:styleId="811">
    <w:name w:val="Quote"/>
    <w:basedOn w:val="960"/>
    <w:next w:val="960"/>
    <w:link w:val="812"/>
    <w:uiPriority w:val="29"/>
    <w:qFormat/>
    <w:pPr>
      <w:ind w:left="720" w:right="720"/>
    </w:pPr>
    <w:rPr>
      <w:i/>
    </w:rPr>
  </w:style>
  <w:style w:type="character" w:styleId="812">
    <w:name w:val="Quote Char"/>
    <w:link w:val="811"/>
    <w:uiPriority w:val="29"/>
    <w:rPr>
      <w:i/>
    </w:rPr>
  </w:style>
  <w:style w:type="paragraph" w:styleId="813">
    <w:name w:val="Intense Quote"/>
    <w:basedOn w:val="960"/>
    <w:next w:val="960"/>
    <w:link w:val="8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4">
    <w:name w:val="Intense Quote Char"/>
    <w:link w:val="813"/>
    <w:uiPriority w:val="30"/>
    <w:rPr>
      <w:i/>
    </w:rPr>
  </w:style>
  <w:style w:type="character" w:styleId="815">
    <w:name w:val="Header Char"/>
    <w:basedOn w:val="964"/>
    <w:link w:val="1118"/>
    <w:uiPriority w:val="99"/>
  </w:style>
  <w:style w:type="character" w:styleId="816">
    <w:name w:val="Footer Char"/>
    <w:basedOn w:val="964"/>
    <w:link w:val="1116"/>
    <w:uiPriority w:val="99"/>
  </w:style>
  <w:style w:type="character" w:styleId="817">
    <w:name w:val="Caption Char"/>
    <w:basedOn w:val="1105"/>
    <w:link w:val="1116"/>
    <w:uiPriority w:val="99"/>
  </w:style>
  <w:style w:type="table" w:styleId="818">
    <w:name w:val="Table Grid Light"/>
    <w:basedOn w:val="9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>
    <w:name w:val="Plain Table 1"/>
    <w:basedOn w:val="9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>
    <w:name w:val="Plain Table 2"/>
    <w:basedOn w:val="9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>
    <w:name w:val="Plain Table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>
    <w:name w:val="Plain Table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Plain Table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>
    <w:name w:val="Grid Table 1 Light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4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>
    <w:name w:val="Grid Table 4 - Accent 1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7">
    <w:name w:val="Grid Table 4 - Accent 2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Grid Table 4 - Accent 3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9">
    <w:name w:val="Grid Table 4 - Accent 4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Grid Table 4 - Accent 5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1">
    <w:name w:val="Grid Table 4 - Accent 6"/>
    <w:basedOn w:val="9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2">
    <w:name w:val="Grid Table 5 Dark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3">
    <w:name w:val="Grid Table 5 Dark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6">
    <w:name w:val="Grid Table 5 Dark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8">
    <w:name w:val="Grid Table 5 Dark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9">
    <w:name w:val="Grid Table 6 Colorful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0">
    <w:name w:val="Grid Table 6 Colorful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1">
    <w:name w:val="Grid Table 6 Colorful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2">
    <w:name w:val="Grid Table 6 Colorful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3">
    <w:name w:val="Grid Table 6 Colorful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4">
    <w:name w:val="Grid Table 6 Colorful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5">
    <w:name w:val="Grid Table 6 Colorful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6">
    <w:name w:val="Grid Table 7 Colorful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1">
    <w:name w:val="List Table 2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2">
    <w:name w:val="List Table 2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3">
    <w:name w:val="List Table 2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4">
    <w:name w:val="List Table 2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5">
    <w:name w:val="List Table 2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6">
    <w:name w:val="List Table 2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7">
    <w:name w:val="List Table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5 Dark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5 Dark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7">
    <w:name w:val="List Table 5 Dark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8">
    <w:name w:val="List Table 6 Colorful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9">
    <w:name w:val="List Table 6 Colorful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0">
    <w:name w:val="List Table 6 Colorful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1">
    <w:name w:val="List Table 6 Colorful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2">
    <w:name w:val="List Table 6 Colorful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3">
    <w:name w:val="List Table 6 Colorful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4">
    <w:name w:val="List Table 6 Colorful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5">
    <w:name w:val="List Table 7 Colorful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6">
    <w:name w:val="List Table 7 Colorful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7">
    <w:name w:val="List Table 7 Colorful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8">
    <w:name w:val="List Table 7 Colorful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9">
    <w:name w:val="List Table 7 Colorful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0">
    <w:name w:val="List Table 7 Colorful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21">
    <w:name w:val="List Table 7 Colorful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2">
    <w:name w:val="Lined - Accent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3">
    <w:name w:val="Lined - Accent 1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4">
    <w:name w:val="Lined - Accent 2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5">
    <w:name w:val="Lined - Accent 3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6">
    <w:name w:val="Lined - Accent 4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7">
    <w:name w:val="Lined - Accent 5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8">
    <w:name w:val="Lined - Accent 6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9">
    <w:name w:val="Bordered &amp; Lined - Accent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0">
    <w:name w:val="Bordered &amp; Lined - Accent 1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1">
    <w:name w:val="Bordered &amp; Lined - Accent 2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2">
    <w:name w:val="Bordered &amp; Lined - Accent 3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3">
    <w:name w:val="Bordered &amp; Lined - Accent 4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4">
    <w:name w:val="Bordered &amp; Lined - Accent 5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5">
    <w:name w:val="Bordered &amp; Lined - Accent 6"/>
    <w:basedOn w:val="9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6">
    <w:name w:val="Bordered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7">
    <w:name w:val="Bordered - Accent 1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8">
    <w:name w:val="Bordered - Accent 2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9">
    <w:name w:val="Bordered - Accent 3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0">
    <w:name w:val="Bordered - Accent 4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1">
    <w:name w:val="Bordered - Accent 5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2">
    <w:name w:val="Bordered - Accent 6"/>
    <w:basedOn w:val="9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3">
    <w:name w:val="Hyperlink"/>
    <w:uiPriority w:val="99"/>
    <w:unhideWhenUsed/>
    <w:rPr>
      <w:color w:val="0000ff" w:themeColor="hyperlink"/>
      <w:u w:val="single"/>
    </w:rPr>
  </w:style>
  <w:style w:type="character" w:styleId="944">
    <w:name w:val="Footnote Text Char"/>
    <w:link w:val="1110"/>
    <w:uiPriority w:val="99"/>
    <w:rPr>
      <w:sz w:val="18"/>
    </w:rPr>
  </w:style>
  <w:style w:type="character" w:styleId="945">
    <w:name w:val="footnote reference"/>
    <w:basedOn w:val="964"/>
    <w:uiPriority w:val="99"/>
    <w:unhideWhenUsed/>
    <w:rPr>
      <w:vertAlign w:val="superscript"/>
    </w:rPr>
  </w:style>
  <w:style w:type="paragraph" w:styleId="946">
    <w:name w:val="endnote text"/>
    <w:basedOn w:val="960"/>
    <w:link w:val="947"/>
    <w:uiPriority w:val="99"/>
    <w:semiHidden/>
    <w:unhideWhenUsed/>
    <w:pPr>
      <w:spacing w:after="0" w:line="240" w:lineRule="auto"/>
    </w:pPr>
    <w:rPr>
      <w:sz w:val="20"/>
    </w:rPr>
  </w:style>
  <w:style w:type="character" w:styleId="947">
    <w:name w:val="Endnote Text Char"/>
    <w:link w:val="946"/>
    <w:uiPriority w:val="99"/>
    <w:rPr>
      <w:sz w:val="20"/>
    </w:rPr>
  </w:style>
  <w:style w:type="character" w:styleId="948">
    <w:name w:val="endnote reference"/>
    <w:basedOn w:val="964"/>
    <w:uiPriority w:val="99"/>
    <w:semiHidden/>
    <w:unhideWhenUsed/>
    <w:rPr>
      <w:vertAlign w:val="superscript"/>
    </w:rPr>
  </w:style>
  <w:style w:type="paragraph" w:styleId="949">
    <w:name w:val="toc 1"/>
    <w:basedOn w:val="960"/>
    <w:next w:val="960"/>
    <w:uiPriority w:val="39"/>
    <w:unhideWhenUsed/>
    <w:pPr>
      <w:ind w:left="0" w:right="0" w:firstLine="0"/>
      <w:spacing w:after="57"/>
    </w:pPr>
  </w:style>
  <w:style w:type="paragraph" w:styleId="950">
    <w:name w:val="toc 2"/>
    <w:basedOn w:val="960"/>
    <w:next w:val="960"/>
    <w:uiPriority w:val="39"/>
    <w:unhideWhenUsed/>
    <w:pPr>
      <w:ind w:left="283" w:right="0" w:firstLine="0"/>
      <w:spacing w:after="57"/>
    </w:pPr>
  </w:style>
  <w:style w:type="paragraph" w:styleId="951">
    <w:name w:val="toc 3"/>
    <w:basedOn w:val="960"/>
    <w:next w:val="960"/>
    <w:uiPriority w:val="39"/>
    <w:unhideWhenUsed/>
    <w:pPr>
      <w:ind w:left="567" w:right="0" w:firstLine="0"/>
      <w:spacing w:after="57"/>
    </w:pPr>
  </w:style>
  <w:style w:type="paragraph" w:styleId="952">
    <w:name w:val="toc 4"/>
    <w:basedOn w:val="960"/>
    <w:next w:val="960"/>
    <w:uiPriority w:val="39"/>
    <w:unhideWhenUsed/>
    <w:pPr>
      <w:ind w:left="850" w:right="0" w:firstLine="0"/>
      <w:spacing w:after="57"/>
    </w:pPr>
  </w:style>
  <w:style w:type="paragraph" w:styleId="953">
    <w:name w:val="toc 5"/>
    <w:basedOn w:val="960"/>
    <w:next w:val="960"/>
    <w:uiPriority w:val="39"/>
    <w:unhideWhenUsed/>
    <w:pPr>
      <w:ind w:left="1134" w:right="0" w:firstLine="0"/>
      <w:spacing w:after="57"/>
    </w:pPr>
  </w:style>
  <w:style w:type="paragraph" w:styleId="954">
    <w:name w:val="toc 6"/>
    <w:basedOn w:val="960"/>
    <w:next w:val="960"/>
    <w:uiPriority w:val="39"/>
    <w:unhideWhenUsed/>
    <w:pPr>
      <w:ind w:left="1417" w:right="0" w:firstLine="0"/>
      <w:spacing w:after="57"/>
    </w:pPr>
  </w:style>
  <w:style w:type="paragraph" w:styleId="955">
    <w:name w:val="toc 7"/>
    <w:basedOn w:val="960"/>
    <w:next w:val="960"/>
    <w:uiPriority w:val="39"/>
    <w:unhideWhenUsed/>
    <w:pPr>
      <w:ind w:left="1701" w:right="0" w:firstLine="0"/>
      <w:spacing w:after="57"/>
    </w:pPr>
  </w:style>
  <w:style w:type="paragraph" w:styleId="956">
    <w:name w:val="toc 8"/>
    <w:basedOn w:val="960"/>
    <w:next w:val="960"/>
    <w:uiPriority w:val="39"/>
    <w:unhideWhenUsed/>
    <w:pPr>
      <w:ind w:left="1984" w:right="0" w:firstLine="0"/>
      <w:spacing w:after="57"/>
    </w:pPr>
  </w:style>
  <w:style w:type="paragraph" w:styleId="957">
    <w:name w:val="toc 9"/>
    <w:basedOn w:val="960"/>
    <w:next w:val="960"/>
    <w:uiPriority w:val="39"/>
    <w:unhideWhenUsed/>
    <w:pPr>
      <w:ind w:left="2268" w:right="0" w:firstLine="0"/>
      <w:spacing w:after="57"/>
    </w:pPr>
  </w:style>
  <w:style w:type="paragraph" w:styleId="958">
    <w:name w:val="TOC Heading"/>
    <w:uiPriority w:val="39"/>
    <w:unhideWhenUsed/>
  </w:style>
  <w:style w:type="paragraph" w:styleId="959">
    <w:name w:val="table of figures"/>
    <w:basedOn w:val="960"/>
    <w:next w:val="960"/>
    <w:uiPriority w:val="99"/>
    <w:unhideWhenUsed/>
    <w:pPr>
      <w:spacing w:after="0" w:afterAutospacing="0"/>
    </w:pPr>
  </w:style>
  <w:style w:type="paragraph" w:styleId="960" w:default="1">
    <w:name w:val="Normal"/>
    <w:qFormat/>
    <w:rPr>
      <w:sz w:val="24"/>
      <w:szCs w:val="24"/>
    </w:rPr>
  </w:style>
  <w:style w:type="paragraph" w:styleId="961">
    <w:name w:val="Heading 1"/>
    <w:basedOn w:val="960"/>
    <w:qFormat/>
    <w:pPr>
      <w:ind w:firstLine="284"/>
      <w:keepNext/>
      <w:outlineLvl w:val="0"/>
    </w:pPr>
  </w:style>
  <w:style w:type="paragraph" w:styleId="962">
    <w:name w:val="Heading 2"/>
    <w:basedOn w:val="96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63">
    <w:name w:val="Heading 9"/>
    <w:basedOn w:val="960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64" w:default="1">
    <w:name w:val="Default Paragraph Font"/>
    <w:uiPriority w:val="1"/>
    <w:unhideWhenUsed/>
  </w:style>
  <w:style w:type="table" w:styleId="9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6" w:default="1">
    <w:name w:val="No List"/>
    <w:uiPriority w:val="99"/>
    <w:semiHidden/>
    <w:unhideWhenUsed/>
  </w:style>
  <w:style w:type="character" w:styleId="967" w:customStyle="1">
    <w:name w:val="Заголовок 1 Знак"/>
    <w:qFormat/>
    <w:rPr>
      <w:sz w:val="24"/>
      <w:szCs w:val="24"/>
    </w:rPr>
  </w:style>
  <w:style w:type="character" w:styleId="968" w:customStyle="1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styleId="969" w:customStyle="1">
    <w:name w:val="Заголовок 9 Знак"/>
    <w:qFormat/>
    <w:rPr>
      <w:rFonts w:ascii="Cambria" w:hAnsi="Cambria"/>
      <w:sz w:val="22"/>
      <w:szCs w:val="22"/>
    </w:rPr>
  </w:style>
  <w:style w:type="character" w:styleId="970">
    <w:name w:val="Strong"/>
    <w:qFormat/>
    <w:rPr>
      <w:b/>
      <w:bCs/>
    </w:rPr>
  </w:style>
  <w:style w:type="character" w:styleId="971" w:customStyle="1">
    <w:name w:val="Привязка сноски"/>
    <w:rPr>
      <w:vertAlign w:val="superscript"/>
    </w:rPr>
  </w:style>
  <w:style w:type="character" w:styleId="972" w:customStyle="1">
    <w:name w:val="Footnote Characters"/>
    <w:qFormat/>
    <w:rPr>
      <w:vertAlign w:val="superscript"/>
    </w:rPr>
  </w:style>
  <w:style w:type="character" w:styleId="973" w:customStyle="1">
    <w:name w:val="Текст выноски Знак"/>
    <w:basedOn w:val="964"/>
    <w:qFormat/>
    <w:rPr>
      <w:rFonts w:ascii="Tahoma" w:hAnsi="Tahoma" w:cs="Tahoma"/>
      <w:sz w:val="16"/>
      <w:szCs w:val="16"/>
    </w:rPr>
  </w:style>
  <w:style w:type="character" w:styleId="974" w:customStyle="1">
    <w:name w:val="Основной текст Знак"/>
    <w:qFormat/>
    <w:rPr>
      <w:sz w:val="24"/>
      <w:szCs w:val="24"/>
      <w:lang w:val="ru-RU" w:eastAsia="ru-RU" w:bidi="ar-SA"/>
    </w:rPr>
  </w:style>
  <w:style w:type="character" w:styleId="975">
    <w:name w:val="annotation reference"/>
    <w:qFormat/>
    <w:rPr>
      <w:sz w:val="16"/>
      <w:szCs w:val="16"/>
    </w:rPr>
  </w:style>
  <w:style w:type="character" w:styleId="976" w:customStyle="1">
    <w:name w:val="Нижний колонтитул Знак"/>
    <w:qFormat/>
    <w:rPr>
      <w:sz w:val="24"/>
      <w:szCs w:val="24"/>
    </w:rPr>
  </w:style>
  <w:style w:type="character" w:styleId="977">
    <w:name w:val="page number"/>
    <w:basedOn w:val="964"/>
    <w:qFormat/>
  </w:style>
  <w:style w:type="character" w:styleId="978" w:customStyle="1">
    <w:name w:val="Верхний колонтитул Знак"/>
    <w:qFormat/>
    <w:rPr>
      <w:sz w:val="24"/>
      <w:szCs w:val="24"/>
    </w:rPr>
  </w:style>
  <w:style w:type="character" w:styleId="979" w:customStyle="1">
    <w:name w:val="Основной текст с отступом Знак"/>
    <w:qFormat/>
    <w:rPr>
      <w:sz w:val="24"/>
      <w:szCs w:val="24"/>
    </w:rPr>
  </w:style>
  <w:style w:type="character" w:styleId="980" w:customStyle="1">
    <w:name w:val="Интернет-ссылка"/>
    <w:rPr>
      <w:color w:val="0000ff"/>
      <w:u w:val="single"/>
    </w:rPr>
  </w:style>
  <w:style w:type="character" w:styleId="981" w:customStyle="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highlight w:val="white"/>
    </w:rPr>
  </w:style>
  <w:style w:type="character" w:styleId="982" w:customStyle="1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983" w:customStyle="1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984">
    <w:name w:val="Emphasis"/>
    <w:qFormat/>
    <w:rPr>
      <w:i/>
      <w:iCs/>
    </w:rPr>
  </w:style>
  <w:style w:type="character" w:styleId="985" w:customStyle="1">
    <w:name w:val="Курсив (Выделения)"/>
    <w:qFormat/>
    <w:rPr>
      <w:i/>
      <w:iCs/>
    </w:rPr>
  </w:style>
  <w:style w:type="character" w:styleId="986" w:customStyle="1">
    <w:name w:val="Полужирный (Выделения)"/>
    <w:qFormat/>
    <w:rPr>
      <w:b/>
      <w:bCs/>
    </w:rPr>
  </w:style>
  <w:style w:type="character" w:styleId="987" w:customStyle="1">
    <w:name w:val="Italic"/>
    <w:qFormat/>
    <w:rPr>
      <w:i/>
      <w:iCs/>
    </w:rPr>
  </w:style>
  <w:style w:type="character" w:styleId="988" w:customStyle="1">
    <w:name w:val="Основной текст с отступом 2 Знак"/>
    <w:basedOn w:val="964"/>
    <w:qFormat/>
    <w:rPr>
      <w:sz w:val="24"/>
      <w:szCs w:val="24"/>
    </w:rPr>
  </w:style>
  <w:style w:type="character" w:styleId="989" w:customStyle="1">
    <w:name w:val="Текст сноски Знак"/>
    <w:basedOn w:val="964"/>
    <w:qFormat/>
  </w:style>
  <w:style w:type="character" w:styleId="990" w:customStyle="1">
    <w:name w:val="Текст выноски Знак1"/>
    <w:basedOn w:val="964"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991" w:customStyle="1">
    <w:name w:val="Основной текст 2 Знак"/>
    <w:basedOn w:val="964"/>
    <w:qFormat/>
    <w:rPr>
      <w:sz w:val="24"/>
      <w:szCs w:val="24"/>
    </w:rPr>
  </w:style>
  <w:style w:type="character" w:styleId="992" w:customStyle="1">
    <w:name w:val="Текст примечания Знак"/>
    <w:basedOn w:val="964"/>
    <w:qFormat/>
  </w:style>
  <w:style w:type="character" w:styleId="993" w:customStyle="1">
    <w:name w:val="Текст примечания Знак1"/>
    <w:basedOn w:val="964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4" w:customStyle="1">
    <w:name w:val="Тема примечания Знак"/>
    <w:basedOn w:val="992"/>
    <w:qFormat/>
    <w:rPr>
      <w:b/>
      <w:bCs/>
    </w:rPr>
  </w:style>
  <w:style w:type="character" w:styleId="995" w:customStyle="1">
    <w:name w:val="Тема примечания Знак1"/>
    <w:basedOn w:val="993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96" w:customStyle="1">
    <w:name w:val="ListLabel 1"/>
    <w:qFormat/>
    <w:rPr>
      <w:b/>
      <w:sz w:val="28"/>
    </w:rPr>
  </w:style>
  <w:style w:type="character" w:styleId="997" w:customStyle="1">
    <w:name w:val="ListLabel 2"/>
    <w:qFormat/>
    <w:rPr>
      <w:rFonts w:cs="Courier New"/>
    </w:rPr>
  </w:style>
  <w:style w:type="character" w:styleId="998" w:customStyle="1">
    <w:name w:val="ListLabel 3"/>
    <w:qFormat/>
    <w:rPr>
      <w:rFonts w:cs="Courier New"/>
    </w:rPr>
  </w:style>
  <w:style w:type="character" w:styleId="999" w:customStyle="1">
    <w:name w:val="ListLabel 4"/>
    <w:qFormat/>
    <w:rPr>
      <w:rFonts w:cs="Courier New"/>
    </w:rPr>
  </w:style>
  <w:style w:type="character" w:styleId="1000" w:customStyle="1">
    <w:name w:val="ListLabel 5"/>
    <w:qFormat/>
    <w:rPr>
      <w:rFonts w:cs="Courier New"/>
    </w:rPr>
  </w:style>
  <w:style w:type="character" w:styleId="1001" w:customStyle="1">
    <w:name w:val="ListLabel 6"/>
    <w:qFormat/>
    <w:rPr>
      <w:rFonts w:cs="Courier New"/>
    </w:rPr>
  </w:style>
  <w:style w:type="character" w:styleId="1002" w:customStyle="1">
    <w:name w:val="ListLabel 7"/>
    <w:qFormat/>
    <w:rPr>
      <w:rFonts w:cs="Courier New"/>
    </w:rPr>
  </w:style>
  <w:style w:type="character" w:styleId="1003" w:customStyle="1">
    <w:name w:val="ListLabel 8"/>
    <w:qFormat/>
    <w:rPr>
      <w:rFonts w:cs="Courier New"/>
    </w:rPr>
  </w:style>
  <w:style w:type="character" w:styleId="1004" w:customStyle="1">
    <w:name w:val="ListLabel 9"/>
    <w:qFormat/>
    <w:rPr>
      <w:rFonts w:cs="Courier New"/>
    </w:rPr>
  </w:style>
  <w:style w:type="character" w:styleId="1005" w:customStyle="1">
    <w:name w:val="ListLabel 10"/>
    <w:qFormat/>
    <w:rPr>
      <w:rFonts w:cs="Courier New"/>
    </w:rPr>
  </w:style>
  <w:style w:type="character" w:styleId="1006" w:customStyle="1">
    <w:name w:val="ListLabel 11"/>
    <w:qFormat/>
    <w:rPr>
      <w:rFonts w:cs="Courier New"/>
    </w:rPr>
  </w:style>
  <w:style w:type="character" w:styleId="1007" w:customStyle="1">
    <w:name w:val="ListLabel 12"/>
    <w:qFormat/>
    <w:rPr>
      <w:rFonts w:cs="Courier New"/>
    </w:rPr>
  </w:style>
  <w:style w:type="character" w:styleId="1008" w:customStyle="1">
    <w:name w:val="ListLabel 13"/>
    <w:qFormat/>
    <w:rPr>
      <w:rFonts w:cs="Courier New"/>
    </w:rPr>
  </w:style>
  <w:style w:type="character" w:styleId="1009" w:customStyle="1">
    <w:name w:val="ListLabel 14"/>
    <w:qFormat/>
    <w:rPr>
      <w:rFonts w:cs="Courier New"/>
    </w:rPr>
  </w:style>
  <w:style w:type="character" w:styleId="1010" w:customStyle="1">
    <w:name w:val="ListLabel 15"/>
    <w:qFormat/>
    <w:rPr>
      <w:rFonts w:cs="Courier New"/>
    </w:rPr>
  </w:style>
  <w:style w:type="character" w:styleId="1011" w:customStyle="1">
    <w:name w:val="ListLabel 16"/>
    <w:qFormat/>
    <w:rPr>
      <w:rFonts w:cs="Courier New"/>
    </w:rPr>
  </w:style>
  <w:style w:type="character" w:styleId="1012" w:customStyle="1">
    <w:name w:val="ListLabel 17"/>
    <w:qFormat/>
    <w:rPr>
      <w:rFonts w:cs="Courier New"/>
    </w:rPr>
  </w:style>
  <w:style w:type="character" w:styleId="1013" w:customStyle="1">
    <w:name w:val="ListLabel 18"/>
    <w:qFormat/>
    <w:rPr>
      <w:rFonts w:cs="Courier New"/>
    </w:rPr>
  </w:style>
  <w:style w:type="character" w:styleId="1014" w:customStyle="1">
    <w:name w:val="ListLabel 19"/>
    <w:qFormat/>
    <w:rPr>
      <w:rFonts w:cs="Courier New"/>
    </w:rPr>
  </w:style>
  <w:style w:type="character" w:styleId="1015" w:customStyle="1">
    <w:name w:val="ListLabel 20"/>
    <w:qFormat/>
    <w:rPr>
      <w:bCs/>
      <w:sz w:val="28"/>
      <w:szCs w:val="28"/>
    </w:rPr>
  </w:style>
  <w:style w:type="character" w:styleId="1016" w:customStyle="1">
    <w:name w:val="Символ сноски"/>
    <w:qFormat/>
  </w:style>
  <w:style w:type="character" w:styleId="1017" w:customStyle="1">
    <w:name w:val="Привязка концевой сноски"/>
    <w:rPr>
      <w:vertAlign w:val="superscript"/>
    </w:rPr>
  </w:style>
  <w:style w:type="character" w:styleId="1018" w:customStyle="1">
    <w:name w:val="Символ концевой сноски"/>
    <w:qFormat/>
  </w:style>
  <w:style w:type="character" w:styleId="1019" w:customStyle="1">
    <w:name w:val="Символ нумерации"/>
    <w:qFormat/>
  </w:style>
  <w:style w:type="character" w:styleId="1020" w:customStyle="1">
    <w:name w:val="Маркеры списка"/>
    <w:qFormat/>
    <w:rPr>
      <w:rFonts w:ascii="OpenSymbol" w:hAnsi="OpenSymbol" w:eastAsia="OpenSymbol" w:cs="OpenSymbol"/>
    </w:rPr>
  </w:style>
  <w:style w:type="character" w:styleId="1021" w:customStyle="1">
    <w:name w:val="WW8Num42z0"/>
    <w:qFormat/>
    <w:rPr>
      <w:b/>
    </w:rPr>
  </w:style>
  <w:style w:type="character" w:styleId="1022" w:customStyle="1">
    <w:name w:val="WW8Num42z1"/>
    <w:qFormat/>
  </w:style>
  <w:style w:type="character" w:styleId="1023" w:customStyle="1">
    <w:name w:val="WW8Num42z2"/>
    <w:qFormat/>
  </w:style>
  <w:style w:type="character" w:styleId="1024" w:customStyle="1">
    <w:name w:val="WW8Num42z3"/>
    <w:qFormat/>
  </w:style>
  <w:style w:type="character" w:styleId="1025" w:customStyle="1">
    <w:name w:val="WW8Num42z4"/>
    <w:qFormat/>
  </w:style>
  <w:style w:type="character" w:styleId="1026" w:customStyle="1">
    <w:name w:val="WW8Num42z5"/>
    <w:qFormat/>
  </w:style>
  <w:style w:type="character" w:styleId="1027" w:customStyle="1">
    <w:name w:val="WW8Num42z6"/>
    <w:qFormat/>
  </w:style>
  <w:style w:type="character" w:styleId="1028" w:customStyle="1">
    <w:name w:val="WW8Num42z7"/>
    <w:qFormat/>
  </w:style>
  <w:style w:type="character" w:styleId="1029" w:customStyle="1">
    <w:name w:val="WW8Num42z8"/>
    <w:qFormat/>
  </w:style>
  <w:style w:type="character" w:styleId="1030" w:customStyle="1">
    <w:name w:val="WW8Num13z0"/>
    <w:qFormat/>
    <w:rPr>
      <w:rFonts w:ascii="Symbol" w:hAnsi="Symbol" w:cs="Symbol"/>
    </w:rPr>
  </w:style>
  <w:style w:type="character" w:styleId="1031" w:customStyle="1">
    <w:name w:val="WW8Num13z1"/>
    <w:qFormat/>
    <w:rPr>
      <w:rFonts w:ascii="Courier New" w:hAnsi="Courier New" w:cs="Courier New"/>
    </w:rPr>
  </w:style>
  <w:style w:type="character" w:styleId="1032" w:customStyle="1">
    <w:name w:val="WW8Num13z2"/>
    <w:qFormat/>
    <w:rPr>
      <w:rFonts w:ascii="Wingdings" w:hAnsi="Wingdings" w:cs="Wingdings"/>
    </w:rPr>
  </w:style>
  <w:style w:type="character" w:styleId="1033" w:customStyle="1">
    <w:name w:val="WW8Num15z0"/>
    <w:qFormat/>
    <w:rPr>
      <w:rFonts w:ascii="Symbol" w:hAnsi="Symbol" w:cs="Symbol"/>
    </w:rPr>
  </w:style>
  <w:style w:type="character" w:styleId="1034" w:customStyle="1">
    <w:name w:val="WW8Num15z1"/>
    <w:qFormat/>
    <w:rPr>
      <w:rFonts w:ascii="Courier New" w:hAnsi="Courier New" w:cs="Courier New"/>
    </w:rPr>
  </w:style>
  <w:style w:type="character" w:styleId="1035" w:customStyle="1">
    <w:name w:val="WW8Num15z2"/>
    <w:qFormat/>
    <w:rPr>
      <w:rFonts w:ascii="Wingdings" w:hAnsi="Wingdings" w:cs="Wingdings"/>
    </w:rPr>
  </w:style>
  <w:style w:type="character" w:styleId="1036" w:customStyle="1">
    <w:name w:val="WW8Num14z0"/>
    <w:qFormat/>
    <w:rPr>
      <w:rFonts w:ascii="Symbol" w:hAnsi="Symbol" w:cs="Symbol"/>
    </w:rPr>
  </w:style>
  <w:style w:type="character" w:styleId="1037" w:customStyle="1">
    <w:name w:val="WW8Num14z1"/>
    <w:qFormat/>
    <w:rPr>
      <w:rFonts w:ascii="Courier New" w:hAnsi="Courier New" w:cs="Courier New"/>
    </w:rPr>
  </w:style>
  <w:style w:type="character" w:styleId="1038" w:customStyle="1">
    <w:name w:val="WW8Num14z2"/>
    <w:qFormat/>
    <w:rPr>
      <w:rFonts w:ascii="Wingdings" w:hAnsi="Wingdings" w:cs="Wingdings"/>
    </w:rPr>
  </w:style>
  <w:style w:type="character" w:styleId="1039" w:customStyle="1">
    <w:name w:val="WW8Num17z0"/>
    <w:qFormat/>
    <w:rPr>
      <w:rFonts w:ascii="Symbol" w:hAnsi="Symbol" w:cs="Symbol"/>
    </w:rPr>
  </w:style>
  <w:style w:type="character" w:styleId="1040" w:customStyle="1">
    <w:name w:val="WW8Num17z1"/>
    <w:qFormat/>
    <w:rPr>
      <w:rFonts w:ascii="Courier New" w:hAnsi="Courier New" w:cs="Courier New"/>
    </w:rPr>
  </w:style>
  <w:style w:type="character" w:styleId="1041" w:customStyle="1">
    <w:name w:val="WW8Num17z2"/>
    <w:qFormat/>
    <w:rPr>
      <w:rFonts w:ascii="Wingdings" w:hAnsi="Wingdings" w:cs="Wingdings"/>
    </w:rPr>
  </w:style>
  <w:style w:type="character" w:styleId="1042" w:customStyle="1">
    <w:name w:val="WW8Num27z0"/>
    <w:qFormat/>
    <w:rPr>
      <w:rFonts w:ascii="Symbol" w:hAnsi="Symbol" w:cs="Symbol"/>
      <w:color w:val="000000"/>
    </w:rPr>
  </w:style>
  <w:style w:type="character" w:styleId="1043" w:customStyle="1">
    <w:name w:val="WW8Num27z1"/>
    <w:qFormat/>
  </w:style>
  <w:style w:type="character" w:styleId="1044" w:customStyle="1">
    <w:name w:val="WW8Num27z2"/>
    <w:qFormat/>
  </w:style>
  <w:style w:type="character" w:styleId="1045" w:customStyle="1">
    <w:name w:val="WW8Num27z3"/>
    <w:qFormat/>
  </w:style>
  <w:style w:type="character" w:styleId="1046" w:customStyle="1">
    <w:name w:val="WW8Num27z4"/>
    <w:qFormat/>
  </w:style>
  <w:style w:type="character" w:styleId="1047" w:customStyle="1">
    <w:name w:val="WW8Num27z5"/>
    <w:qFormat/>
  </w:style>
  <w:style w:type="character" w:styleId="1048" w:customStyle="1">
    <w:name w:val="WW8Num27z6"/>
    <w:qFormat/>
  </w:style>
  <w:style w:type="character" w:styleId="1049" w:customStyle="1">
    <w:name w:val="WW8Num27z7"/>
    <w:qFormat/>
  </w:style>
  <w:style w:type="character" w:styleId="1050" w:customStyle="1">
    <w:name w:val="WW8Num27z8"/>
    <w:qFormat/>
  </w:style>
  <w:style w:type="character" w:styleId="1051" w:customStyle="1">
    <w:name w:val="WW8Num12z0"/>
    <w:qFormat/>
    <w:rPr>
      <w:rFonts w:ascii="Symbol" w:hAnsi="Symbol" w:cs="Symbol"/>
      <w:color w:val="000000"/>
    </w:rPr>
  </w:style>
  <w:style w:type="character" w:styleId="1052" w:customStyle="1">
    <w:name w:val="WW8Num12z1"/>
    <w:qFormat/>
  </w:style>
  <w:style w:type="character" w:styleId="1053" w:customStyle="1">
    <w:name w:val="WW8Num12z2"/>
    <w:qFormat/>
  </w:style>
  <w:style w:type="character" w:styleId="1054" w:customStyle="1">
    <w:name w:val="WW8Num12z3"/>
    <w:qFormat/>
  </w:style>
  <w:style w:type="character" w:styleId="1055" w:customStyle="1">
    <w:name w:val="WW8Num12z4"/>
    <w:qFormat/>
  </w:style>
  <w:style w:type="character" w:styleId="1056" w:customStyle="1">
    <w:name w:val="WW8Num12z5"/>
    <w:qFormat/>
  </w:style>
  <w:style w:type="character" w:styleId="1057" w:customStyle="1">
    <w:name w:val="WW8Num12z6"/>
    <w:qFormat/>
  </w:style>
  <w:style w:type="character" w:styleId="1058" w:customStyle="1">
    <w:name w:val="WW8Num12z7"/>
    <w:qFormat/>
  </w:style>
  <w:style w:type="character" w:styleId="1059" w:customStyle="1">
    <w:name w:val="WW8Num12z8"/>
    <w:qFormat/>
  </w:style>
  <w:style w:type="character" w:styleId="1060" w:customStyle="1">
    <w:name w:val="WW8Num45z0"/>
    <w:qFormat/>
    <w:rPr>
      <w:rFonts w:ascii="Symbol" w:hAnsi="Symbol" w:cs="Symbol"/>
    </w:rPr>
  </w:style>
  <w:style w:type="character" w:styleId="1061" w:customStyle="1">
    <w:name w:val="WW8Num45z1"/>
    <w:qFormat/>
    <w:rPr>
      <w:rFonts w:ascii="Courier New" w:hAnsi="Courier New" w:cs="Courier New"/>
    </w:rPr>
  </w:style>
  <w:style w:type="character" w:styleId="1062" w:customStyle="1">
    <w:name w:val="WW8Num45z2"/>
    <w:qFormat/>
    <w:rPr>
      <w:rFonts w:ascii="Wingdings" w:hAnsi="Wingdings" w:cs="Wingdings"/>
    </w:rPr>
  </w:style>
  <w:style w:type="character" w:styleId="1063" w:customStyle="1">
    <w:name w:val="WW8Num24z0"/>
    <w:qFormat/>
  </w:style>
  <w:style w:type="character" w:styleId="1064" w:customStyle="1">
    <w:name w:val="WW8Num24z1"/>
    <w:qFormat/>
  </w:style>
  <w:style w:type="character" w:styleId="1065" w:customStyle="1">
    <w:name w:val="WW8Num24z2"/>
    <w:qFormat/>
  </w:style>
  <w:style w:type="character" w:styleId="1066" w:customStyle="1">
    <w:name w:val="WW8Num24z3"/>
    <w:qFormat/>
  </w:style>
  <w:style w:type="character" w:styleId="1067" w:customStyle="1">
    <w:name w:val="WW8Num24z4"/>
    <w:qFormat/>
  </w:style>
  <w:style w:type="character" w:styleId="1068" w:customStyle="1">
    <w:name w:val="WW8Num24z5"/>
    <w:qFormat/>
  </w:style>
  <w:style w:type="character" w:styleId="1069" w:customStyle="1">
    <w:name w:val="WW8Num24z6"/>
    <w:qFormat/>
  </w:style>
  <w:style w:type="character" w:styleId="1070" w:customStyle="1">
    <w:name w:val="WW8Num24z7"/>
    <w:qFormat/>
  </w:style>
  <w:style w:type="character" w:styleId="1071" w:customStyle="1">
    <w:name w:val="WW8Num24z8"/>
    <w:qFormat/>
  </w:style>
  <w:style w:type="character" w:styleId="1072" w:customStyle="1">
    <w:name w:val="Выделение жирным"/>
    <w:qFormat/>
    <w:rPr>
      <w:b/>
      <w:bCs/>
    </w:rPr>
  </w:style>
  <w:style w:type="character" w:styleId="1073" w:customStyle="1">
    <w:name w:val="Bold"/>
    <w:qFormat/>
    <w:rPr>
      <w:b/>
      <w:bCs/>
    </w:rPr>
  </w:style>
  <w:style w:type="character" w:styleId="1074" w:customStyle="1">
    <w:name w:val="ListLabel 21"/>
    <w:qFormat/>
    <w:rPr>
      <w:b/>
      <w:sz w:val="28"/>
    </w:rPr>
  </w:style>
  <w:style w:type="character" w:styleId="1075" w:customStyle="1">
    <w:name w:val="ListLabel 22"/>
    <w:qFormat/>
    <w:rPr>
      <w:b/>
    </w:rPr>
  </w:style>
  <w:style w:type="character" w:styleId="1076" w:customStyle="1">
    <w:name w:val="ListLabel 23"/>
    <w:qFormat/>
    <w:rPr>
      <w:rFonts w:cs="Symbol"/>
    </w:rPr>
  </w:style>
  <w:style w:type="character" w:styleId="1077" w:customStyle="1">
    <w:name w:val="ListLabel 24"/>
    <w:qFormat/>
    <w:rPr>
      <w:rFonts w:cs="Symbol"/>
    </w:rPr>
  </w:style>
  <w:style w:type="character" w:styleId="1078" w:customStyle="1">
    <w:name w:val="ListLabel 25"/>
    <w:qFormat/>
    <w:rPr>
      <w:rFonts w:cs="Symbol"/>
    </w:rPr>
  </w:style>
  <w:style w:type="character" w:styleId="1079" w:customStyle="1">
    <w:name w:val="ListLabel 26"/>
    <w:qFormat/>
    <w:rPr>
      <w:rFonts w:cs="Symbol"/>
    </w:rPr>
  </w:style>
  <w:style w:type="character" w:styleId="1080" w:customStyle="1">
    <w:name w:val="ListLabel 27"/>
    <w:qFormat/>
    <w:rPr>
      <w:rFonts w:cs="Symbol"/>
      <w:color w:val="000000"/>
    </w:rPr>
  </w:style>
  <w:style w:type="character" w:styleId="1081" w:customStyle="1">
    <w:name w:val="ListLabel 28"/>
    <w:qFormat/>
    <w:rPr>
      <w:rFonts w:cs="Symbol"/>
      <w:color w:val="000000"/>
    </w:rPr>
  </w:style>
  <w:style w:type="character" w:styleId="1082" w:customStyle="1">
    <w:name w:val="ListLabel 29"/>
    <w:qFormat/>
    <w:rPr>
      <w:rFonts w:cs="Symbol"/>
    </w:rPr>
  </w:style>
  <w:style w:type="character" w:styleId="1083" w:customStyle="1">
    <w:name w:val="ListLabel 30"/>
    <w:qFormat/>
    <w:rPr>
      <w:rFonts w:ascii="Times New Roman;serif" w:hAnsi="Times New Roman;serif" w:cs="OpenSymbol"/>
      <w:sz w:val="28"/>
    </w:rPr>
  </w:style>
  <w:style w:type="character" w:styleId="1084" w:customStyle="1">
    <w:name w:val="ListLabel 31"/>
    <w:qFormat/>
    <w:rPr>
      <w:rFonts w:cs="OpenSymbol"/>
    </w:rPr>
  </w:style>
  <w:style w:type="character" w:styleId="1085" w:customStyle="1">
    <w:name w:val="ListLabel 32"/>
    <w:qFormat/>
    <w:rPr>
      <w:rFonts w:cs="OpenSymbol"/>
    </w:rPr>
  </w:style>
  <w:style w:type="character" w:styleId="1086" w:customStyle="1">
    <w:name w:val="ListLabel 33"/>
    <w:qFormat/>
    <w:rPr>
      <w:rFonts w:cs="OpenSymbol"/>
    </w:rPr>
  </w:style>
  <w:style w:type="character" w:styleId="1087" w:customStyle="1">
    <w:name w:val="ListLabel 34"/>
    <w:qFormat/>
    <w:rPr>
      <w:rFonts w:cs="OpenSymbol"/>
    </w:rPr>
  </w:style>
  <w:style w:type="character" w:styleId="1088" w:customStyle="1">
    <w:name w:val="ListLabel 35"/>
    <w:qFormat/>
    <w:rPr>
      <w:rFonts w:cs="OpenSymbol"/>
    </w:rPr>
  </w:style>
  <w:style w:type="character" w:styleId="1089" w:customStyle="1">
    <w:name w:val="ListLabel 36"/>
    <w:qFormat/>
    <w:rPr>
      <w:rFonts w:cs="OpenSymbol"/>
    </w:rPr>
  </w:style>
  <w:style w:type="character" w:styleId="1090" w:customStyle="1">
    <w:name w:val="ListLabel 37"/>
    <w:qFormat/>
    <w:rPr>
      <w:rFonts w:cs="OpenSymbol"/>
    </w:rPr>
  </w:style>
  <w:style w:type="character" w:styleId="1091" w:customStyle="1">
    <w:name w:val="ListLabel 38"/>
    <w:qFormat/>
    <w:rPr>
      <w:rFonts w:cs="OpenSymbol"/>
    </w:rPr>
  </w:style>
  <w:style w:type="character" w:styleId="1092" w:customStyle="1">
    <w:name w:val="ListLabel 39"/>
    <w:qFormat/>
    <w:rPr>
      <w:rFonts w:ascii="Times New Roman;serif" w:hAnsi="Times New Roman;serif" w:cs="OpenSymbol"/>
      <w:sz w:val="28"/>
    </w:rPr>
  </w:style>
  <w:style w:type="character" w:styleId="1093" w:customStyle="1">
    <w:name w:val="ListLabel 40"/>
    <w:qFormat/>
    <w:rPr>
      <w:rFonts w:cs="OpenSymbol"/>
    </w:rPr>
  </w:style>
  <w:style w:type="character" w:styleId="1094" w:customStyle="1">
    <w:name w:val="ListLabel 41"/>
    <w:qFormat/>
    <w:rPr>
      <w:rFonts w:cs="OpenSymbol"/>
    </w:rPr>
  </w:style>
  <w:style w:type="character" w:styleId="1095" w:customStyle="1">
    <w:name w:val="ListLabel 42"/>
    <w:qFormat/>
    <w:rPr>
      <w:rFonts w:cs="OpenSymbol"/>
    </w:rPr>
  </w:style>
  <w:style w:type="character" w:styleId="1096" w:customStyle="1">
    <w:name w:val="ListLabel 43"/>
    <w:qFormat/>
    <w:rPr>
      <w:rFonts w:cs="OpenSymbol"/>
    </w:rPr>
  </w:style>
  <w:style w:type="character" w:styleId="1097" w:customStyle="1">
    <w:name w:val="ListLabel 44"/>
    <w:qFormat/>
    <w:rPr>
      <w:rFonts w:cs="OpenSymbol"/>
    </w:rPr>
  </w:style>
  <w:style w:type="character" w:styleId="1098" w:customStyle="1">
    <w:name w:val="ListLabel 45"/>
    <w:qFormat/>
    <w:rPr>
      <w:rFonts w:cs="OpenSymbol"/>
    </w:rPr>
  </w:style>
  <w:style w:type="character" w:styleId="1099" w:customStyle="1">
    <w:name w:val="ListLabel 46"/>
    <w:qFormat/>
    <w:rPr>
      <w:rFonts w:cs="OpenSymbol"/>
    </w:rPr>
  </w:style>
  <w:style w:type="character" w:styleId="1100" w:customStyle="1">
    <w:name w:val="ListLabel 47"/>
    <w:qFormat/>
    <w:rPr>
      <w:rFonts w:cs="OpenSymbol"/>
    </w:rPr>
  </w:style>
  <w:style w:type="character" w:styleId="1101" w:customStyle="1">
    <w:name w:val="ListLabel 48"/>
    <w:qFormat/>
    <w:rPr>
      <w:bCs/>
      <w:sz w:val="28"/>
      <w:szCs w:val="28"/>
    </w:rPr>
  </w:style>
  <w:style w:type="paragraph" w:styleId="1102" w:customStyle="1">
    <w:name w:val="Заголовок1"/>
    <w:basedOn w:val="960"/>
    <w:next w:val="1103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1103">
    <w:name w:val="Body Text"/>
    <w:basedOn w:val="960"/>
    <w:pPr>
      <w:spacing w:after="120"/>
    </w:pPr>
  </w:style>
  <w:style w:type="paragraph" w:styleId="1104">
    <w:name w:val="List"/>
    <w:basedOn w:val="1103"/>
    <w:rPr>
      <w:rFonts w:cs="Lohit Devanagari"/>
    </w:rPr>
  </w:style>
  <w:style w:type="paragraph" w:styleId="1105">
    <w:name w:val="Caption"/>
    <w:basedOn w:val="960"/>
    <w:qFormat/>
    <w:pPr>
      <w:spacing w:before="120" w:after="120"/>
      <w:suppressLineNumbers/>
    </w:pPr>
    <w:rPr>
      <w:rFonts w:cs="Lohit Devanagari"/>
      <w:i/>
      <w:iCs/>
    </w:rPr>
  </w:style>
  <w:style w:type="paragraph" w:styleId="1106">
    <w:name w:val="index heading"/>
    <w:basedOn w:val="960"/>
    <w:qFormat/>
    <w:pPr>
      <w:suppressLineNumbers/>
    </w:pPr>
    <w:rPr>
      <w:rFonts w:cs="Lohit Devanagari"/>
    </w:rPr>
  </w:style>
  <w:style w:type="paragraph" w:styleId="1107">
    <w:name w:val="Normal (Web)"/>
    <w:basedOn w:val="960"/>
    <w:qFormat/>
    <w:pPr>
      <w:spacing w:before="280" w:after="280"/>
    </w:pPr>
  </w:style>
  <w:style w:type="paragraph" w:styleId="1108">
    <w:name w:val="List Bullet 3"/>
    <w:basedOn w:val="960"/>
    <w:qFormat/>
    <w:pPr>
      <w:ind w:left="566" w:hanging="283"/>
    </w:pPr>
  </w:style>
  <w:style w:type="paragraph" w:styleId="1109">
    <w:name w:val="Body Text Indent 2"/>
    <w:basedOn w:val="960"/>
    <w:qFormat/>
    <w:pPr>
      <w:ind w:left="283"/>
      <w:spacing w:after="120" w:line="480" w:lineRule="auto"/>
    </w:pPr>
  </w:style>
  <w:style w:type="paragraph" w:styleId="1110">
    <w:name w:val="footnote text"/>
    <w:basedOn w:val="960"/>
    <w:rPr>
      <w:sz w:val="20"/>
      <w:szCs w:val="20"/>
    </w:rPr>
  </w:style>
  <w:style w:type="paragraph" w:styleId="1111">
    <w:name w:val="Balloon Text"/>
    <w:basedOn w:val="960"/>
    <w:qFormat/>
    <w:rPr>
      <w:rFonts w:ascii="Tahoma" w:hAnsi="Tahoma" w:cs="Tahoma"/>
      <w:sz w:val="16"/>
      <w:szCs w:val="16"/>
    </w:rPr>
  </w:style>
  <w:style w:type="paragraph" w:styleId="1112">
    <w:name w:val="Body Text 2"/>
    <w:basedOn w:val="960"/>
    <w:qFormat/>
    <w:pPr>
      <w:spacing w:after="120" w:line="480" w:lineRule="auto"/>
    </w:pPr>
  </w:style>
  <w:style w:type="paragraph" w:styleId="1113">
    <w:name w:val="annotation text"/>
    <w:basedOn w:val="960"/>
    <w:qFormat/>
    <w:rPr>
      <w:sz w:val="20"/>
      <w:szCs w:val="20"/>
    </w:rPr>
  </w:style>
  <w:style w:type="paragraph" w:styleId="1114">
    <w:name w:val="annotation subject"/>
    <w:basedOn w:val="1113"/>
    <w:qFormat/>
    <w:rPr>
      <w:b/>
      <w:bCs/>
    </w:rPr>
  </w:style>
  <w:style w:type="paragraph" w:styleId="1115" w:customStyle="1">
    <w:name w:val="Знак"/>
    <w:basedOn w:val="960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16">
    <w:name w:val="Footer"/>
    <w:basedOn w:val="960"/>
    <w:pPr>
      <w:tabs>
        <w:tab w:val="center" w:pos="4677" w:leader="none"/>
        <w:tab w:val="right" w:pos="9355" w:leader="none"/>
      </w:tabs>
    </w:pPr>
  </w:style>
  <w:style w:type="paragraph" w:styleId="1117" w:customStyle="1">
    <w:name w:val="Знак2"/>
    <w:basedOn w:val="960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18">
    <w:name w:val="Header"/>
    <w:basedOn w:val="960"/>
    <w:pPr>
      <w:tabs>
        <w:tab w:val="center" w:pos="4677" w:leader="none"/>
        <w:tab w:val="right" w:pos="9355" w:leader="none"/>
      </w:tabs>
    </w:pPr>
  </w:style>
  <w:style w:type="paragraph" w:styleId="1119">
    <w:name w:val="Body Text Indent"/>
    <w:basedOn w:val="960"/>
    <w:pPr>
      <w:ind w:left="283"/>
      <w:spacing w:after="120"/>
    </w:pPr>
  </w:style>
  <w:style w:type="paragraph" w:styleId="1120" w:customStyle="1">
    <w:name w:val="Основной текст с отступом 31"/>
    <w:basedOn w:val="960"/>
    <w:qFormat/>
    <w:pPr>
      <w:ind w:right="-185" w:firstLine="540"/>
      <w:jc w:val="both"/>
    </w:pPr>
    <w:rPr>
      <w:lang w:eastAsia="ar-SA"/>
    </w:rPr>
  </w:style>
  <w:style w:type="paragraph" w:styleId="1121" w:customStyle="1">
    <w:name w:val="Основной текст с отступом 21"/>
    <w:basedOn w:val="960"/>
    <w:qFormat/>
    <w:pPr>
      <w:ind w:firstLine="540"/>
      <w:jc w:val="center"/>
    </w:pPr>
    <w:rPr>
      <w:b/>
      <w:sz w:val="32"/>
      <w:szCs w:val="20"/>
      <w:lang w:eastAsia="ar-SA"/>
    </w:rPr>
  </w:style>
  <w:style w:type="paragraph" w:styleId="1122" w:customStyle="1">
    <w:name w:val="Текст1"/>
    <w:basedOn w:val="960"/>
    <w:qFormat/>
    <w:rPr>
      <w:rFonts w:ascii="Courier New" w:hAnsi="Courier New"/>
      <w:sz w:val="20"/>
      <w:szCs w:val="20"/>
      <w:lang w:eastAsia="ar-SA"/>
    </w:rPr>
  </w:style>
  <w:style w:type="paragraph" w:styleId="1123" w:customStyle="1">
    <w:name w:val="ConsNormal"/>
    <w:qFormat/>
    <w:pPr>
      <w:ind w:right="19772" w:firstLine="720"/>
      <w:widowControl w:val="off"/>
    </w:pPr>
    <w:rPr>
      <w:rFonts w:ascii="Arial" w:hAnsi="Arial" w:cs="Arial"/>
      <w:sz w:val="22"/>
      <w:szCs w:val="22"/>
      <w:lang w:eastAsia="ar-SA"/>
    </w:rPr>
  </w:style>
  <w:style w:type="paragraph" w:styleId="1124" w:customStyle="1">
    <w:name w:val="Цитата1"/>
    <w:basedOn w:val="960"/>
    <w:qFormat/>
    <w:pPr>
      <w:ind w:left="57" w:right="113"/>
      <w:jc w:val="both"/>
    </w:pPr>
    <w:rPr>
      <w:sz w:val="28"/>
      <w:lang w:eastAsia="ar-SA"/>
    </w:rPr>
  </w:style>
  <w:style w:type="paragraph" w:styleId="1125" w:customStyle="1">
    <w:name w:val="Default"/>
    <w:qFormat/>
    <w:rPr>
      <w:color w:val="000000"/>
      <w:sz w:val="24"/>
      <w:szCs w:val="24"/>
    </w:rPr>
  </w:style>
  <w:style w:type="paragraph" w:styleId="1126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1127" w:customStyle="1">
    <w:name w:val="Основной текст (2)"/>
    <w:basedOn w:val="960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/>
      <w:sz w:val="21"/>
      <w:szCs w:val="21"/>
    </w:rPr>
  </w:style>
  <w:style w:type="paragraph" w:styleId="1128">
    <w:name w:val="List Paragraph"/>
    <w:basedOn w:val="960"/>
    <w:qFormat/>
    <w:pPr>
      <w:ind w:left="708"/>
    </w:pPr>
  </w:style>
  <w:style w:type="paragraph" w:styleId="1129" w:customStyle="1">
    <w:name w:val="ConsPlusNormal"/>
    <w:qFormat/>
    <w:pPr>
      <w:widowControl w:val="off"/>
    </w:pPr>
    <w:rPr>
      <w:rFonts w:ascii="Calibri" w:hAnsi="Calibri" w:cs="Calibri"/>
      <w:sz w:val="22"/>
    </w:rPr>
  </w:style>
  <w:style w:type="paragraph" w:styleId="1130" w:customStyle="1">
    <w:name w:val="Основной — (Основной Текст)"/>
    <w:basedOn w:val="960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131" w:customStyle="1">
    <w:name w:val="Основной (Основной Текст)"/>
    <w:basedOn w:val="960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132" w:customStyle="1">
    <w:name w:val="Таблица Головка (Таблицы)"/>
    <w:basedOn w:val="960"/>
    <w:qFormat/>
    <w:pPr>
      <w:jc w:val="center"/>
      <w:spacing w:line="230" w:lineRule="atLeast"/>
      <w:widowControl w:val="off"/>
    </w:pPr>
    <w:rPr>
      <w:b/>
      <w:bCs/>
      <w:color w:val="000000"/>
      <w:sz w:val="19"/>
      <w:szCs w:val="19"/>
    </w:rPr>
  </w:style>
  <w:style w:type="paragraph" w:styleId="1133" w:customStyle="1">
    <w:name w:val="h3-first"/>
    <w:basedOn w:val="960"/>
    <w:qFormat/>
    <w:pPr>
      <w:spacing w:before="120" w:after="57" w:line="260" w:lineRule="atLeast"/>
      <w:widowControl w:val="off"/>
    </w:pPr>
    <w:rPr>
      <w:b/>
      <w:bCs/>
      <w:color w:val="000000"/>
      <w:sz w:val="22"/>
      <w:szCs w:val="22"/>
    </w:rPr>
  </w:style>
  <w:style w:type="paragraph" w:styleId="1134" w:customStyle="1">
    <w:name w:val="Таблица по Центру (Таблицы)"/>
    <w:basedOn w:val="960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135" w:customStyle="1">
    <w:name w:val="[No Paragraph Style]"/>
    <w:qFormat/>
    <w:pPr>
      <w:spacing w:line="288" w:lineRule="auto"/>
      <w:widowControl w:val="off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1136" w:customStyle="1">
    <w:name w:val="table-list-bullet"/>
    <w:basedOn w:val="1137"/>
    <w:qFormat/>
    <w:pPr>
      <w:spacing w:after="0"/>
    </w:pPr>
  </w:style>
  <w:style w:type="paragraph" w:styleId="1137" w:customStyle="1">
    <w:name w:val="table-body_1mm"/>
    <w:basedOn w:val="1138"/>
    <w:qFormat/>
    <w:pPr>
      <w:ind w:firstLine="0"/>
      <w:jc w:val="left"/>
      <w:spacing w:after="100" w:line="200" w:lineRule="atLeast"/>
    </w:pPr>
    <w:rPr>
      <w:sz w:val="18"/>
      <w:szCs w:val="18"/>
    </w:rPr>
  </w:style>
  <w:style w:type="paragraph" w:styleId="1138" w:customStyle="1">
    <w:name w:val="body"/>
    <w:basedOn w:val="1135"/>
    <w:qFormat/>
    <w:pPr>
      <w:ind w:firstLine="227"/>
      <w:jc w:val="both"/>
      <w:spacing w:line="240" w:lineRule="atLeast"/>
    </w:pPr>
    <w:rPr>
      <w:rFonts w:ascii="TimesNewRomanPSMT" w:hAnsi="TimesNewRomanPSMT" w:cs="TimesNewRomanPSMT"/>
      <w:sz w:val="20"/>
      <w:szCs w:val="20"/>
      <w:lang w:val="ru-RU"/>
    </w:rPr>
  </w:style>
  <w:style w:type="paragraph" w:styleId="1139" w:customStyle="1">
    <w:name w:val="table-list-bullet_0"/>
    <w:basedOn w:val="1137"/>
    <w:qFormat/>
    <w:pPr>
      <w:ind w:left="142"/>
      <w:spacing w:after="0"/>
    </w:pPr>
  </w:style>
  <w:style w:type="paragraph" w:styleId="1140" w:customStyle="1">
    <w:name w:val="Содержимое таблицы"/>
    <w:basedOn w:val="960"/>
    <w:qFormat/>
    <w:pPr>
      <w:suppressLineNumbers/>
    </w:pPr>
  </w:style>
  <w:style w:type="paragraph" w:styleId="1141" w:customStyle="1">
    <w:name w:val="table-body"/>
    <w:basedOn w:val="960"/>
    <w:qFormat/>
    <w:pPr>
      <w:spacing w:after="100" w:line="200" w:lineRule="atLeast"/>
      <w:widowControl w:val="off"/>
    </w:pPr>
    <w:rPr>
      <w:rFonts w:ascii="SchoolBookSanPin" w:hAnsi="SchoolBookSanPin" w:cs="SchoolBookSanPin"/>
      <w:color w:val="000000"/>
      <w:sz w:val="18"/>
      <w:szCs w:val="18"/>
    </w:rPr>
  </w:style>
  <w:style w:type="paragraph" w:styleId="1142" w:customStyle="1">
    <w:name w:val="table-list-bullet dop"/>
    <w:basedOn w:val="1141"/>
    <w:qFormat/>
    <w:pPr>
      <w:ind w:left="142"/>
      <w:spacing w:after="0"/>
    </w:pPr>
  </w:style>
  <w:style w:type="paragraph" w:styleId="1143" w:customStyle="1">
    <w:name w:val="table-head"/>
    <w:basedOn w:val="1141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styleId="1144" w:customStyle="1">
    <w:name w:val="Заголовок таблицы"/>
    <w:basedOn w:val="1140"/>
    <w:qFormat/>
    <w:pPr>
      <w:jc w:val="center"/>
    </w:pPr>
    <w:rPr>
      <w:b/>
      <w:bCs/>
    </w:rPr>
  </w:style>
  <w:style w:type="numbering" w:styleId="1145" w:customStyle="1">
    <w:name w:val="WW8Num42"/>
    <w:qFormat/>
  </w:style>
  <w:style w:type="numbering" w:styleId="1146" w:customStyle="1">
    <w:name w:val="WW8Num13"/>
    <w:qFormat/>
  </w:style>
  <w:style w:type="numbering" w:styleId="1147" w:customStyle="1">
    <w:name w:val="WW8Num15"/>
    <w:qFormat/>
  </w:style>
  <w:style w:type="numbering" w:styleId="1148" w:customStyle="1">
    <w:name w:val="WW8Num14"/>
    <w:qFormat/>
  </w:style>
  <w:style w:type="numbering" w:styleId="1149" w:customStyle="1">
    <w:name w:val="WW8Num17"/>
    <w:qFormat/>
  </w:style>
  <w:style w:type="numbering" w:styleId="1150" w:customStyle="1">
    <w:name w:val="WW8Num27"/>
    <w:qFormat/>
  </w:style>
  <w:style w:type="numbering" w:styleId="1151" w:customStyle="1">
    <w:name w:val="WW8Num12"/>
    <w:qFormat/>
  </w:style>
  <w:style w:type="numbering" w:styleId="1152" w:customStyle="1">
    <w:name w:val="WW8Num45"/>
    <w:qFormat/>
  </w:style>
  <w:style w:type="numbering" w:styleId="1153" w:customStyle="1">
    <w:name w:val="WW8Num24"/>
    <w:qFormat/>
  </w:style>
  <w:style w:type="table" w:styleId="1154">
    <w:name w:val="Table Grid"/>
    <w:basedOn w:val="96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55" w:customStyle="1">
    <w:name w:val="Раздел 1"/>
    <w:basedOn w:val="1030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6" w:customStyle="1">
    <w:name w:val="Раздел 1.1"/>
    <w:basedOn w:val="963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dc:language>ru-RU</dc:language>
  <cp:lastModifiedBy>Юлия Кисаубаева</cp:lastModifiedBy>
  <cp:revision>15</cp:revision>
  <dcterms:created xsi:type="dcterms:W3CDTF">2023-10-06T10:42:00Z</dcterms:created>
  <dcterms:modified xsi:type="dcterms:W3CDTF">2025-06-04T08:01:15Z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